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Osobnostní výchova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256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Občanské výchovy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Předmět Osobnostní výchova zahrnuje 4 vzdělávací oblasti: Rozvoj osobnosti, Spolupráce a vztahy s druhými, Zdravý a bezpečný život a Moje budoucnost. 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Vzdělávací okruh Rozvoj osobnosti se zaměřuje na sebepojetí žáka, zvládání stresu a náročných situací, efektivní strategie učení, sebeorganizaci a plánování vlastního rozvoje. Podporuje odolnost žáka vedoucí ke zvládání náročných životních situací. 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Vzdělávací okruh Spolupráce a vztahy s druhými se věnuje komunikaci a zvládání konfliktů, prosociálnímu a etickému chování. Podporuje žáky ve spolupráci s druhými, v udržování a rozvíjení mezilidských vztahů.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Vzdělávací okruh Zdravý a bezpečný život podporuje žáka v rozvoji a ochraně svého zdraví. Přispívá k bezpečnému chování a pohybu ve škole. Rozvíjí praktické dovednosti péče o fyzické zdraví, prevence onemocnění a poskytování první pomoci.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Vzdělávací okruh Moje budoucnost podporuje žáky v plánování ve vlastním kariérním směřování, k hodnotám a příležitostem spojeným se světem práce, v udržování rovnováhy mezi volným časem a prací, v systematické práci s osobním portfoliem. Připravuje žáka na další vzdělávací cestu a svět práce. Podporuje žáka v zaměření během studia, v přechodu mezi vzděláváním a prací, zvládání životních a kariérových změn.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Rozvoj osobnosti - psychologie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reflektuje své osobní vlastnosti - temperament, emocionalitu, vlastnosti, dovednosti, typické projevy chování, zájmy, potřeby, hodnoty, své silné stránky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své chování a jednání a účinné možnosti jejich regulace a změn ve fyzickém a digitálním prostředí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reflektuje své emoce a zvyšuje svou všímavost ke svému prožívání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různorodé seberegulační techniky pro zvládání stresu a posilování odolnosti a vyhodnotí jejich účinek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řídí vlastní učení na základě reflexe svých vzdělávacích potřeb, využívá efektivní strategie učení, využívá silných stránek své osobnosti k dalšímu rozvoji i překonání neúspěchu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rozpozná vhodnou formu sebeprezentace pro různé situace</w:t>
            </w:r>
          </w:p>
          <w:p w:rsidR="00000000" w:rsidDel="00000000" w:rsidP="00000000" w:rsidRDefault="00000000" w:rsidRPr="00000000" w14:paraId="0000001C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   2. ročník</w:t>
            </w:r>
          </w:p>
          <w:p w:rsidR="00000000" w:rsidDel="00000000" w:rsidP="00000000" w:rsidRDefault="00000000" w:rsidRPr="00000000" w14:paraId="0000001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Spolupráce a vztahy s druhými - sociologie, mediální komunikace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bezpečné a efektivní strategie sebeprezentace v mediálním prostředí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přispívá k utváření vzájemně podporujících vztahů s druhými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vhodné způsoby sociální interakce v různých modelových situacích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využívá efektivní strategie sociální komunikace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přispívá k řešení konfliktu v modelových situacích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rozpoznává a uplatňuje etické a prosociální chování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používá vhodné způsoby, jak se vymezit vůči nerespektujícímu chování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vnímá emoční prožívání druhých a využívá k empatické interakci s druhými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respektuje různé role ve skupině a vyhodnocuje své zapojení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vede skupinovou práci a využívá zpětnou vazbu ke zvýšení efektivity</w:t>
            </w:r>
          </w:p>
          <w:p w:rsidR="00000000" w:rsidDel="00000000" w:rsidP="00000000" w:rsidRDefault="00000000" w:rsidRPr="00000000" w14:paraId="0000002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2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Zdravý a bezpečný život - výchova ke zdraví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zásady aktivní ochrany zdraví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rozliší  pozitivní a negativní vlivy na jednotlivé složky zdraví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postupy prevence onemocnění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rozpozná charakter a závažnost situace ohrožující zdraví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převede v modelové situaci poskytnutí první pomoci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posuzuje možnosti předcházení vzniku mimořádných událostí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předvede v modelových situacích postupy bezpečného chování při vzniku náhlé mimořádné události v prostorách školy</w:t>
            </w:r>
          </w:p>
          <w:p w:rsidR="00000000" w:rsidDel="00000000" w:rsidP="00000000" w:rsidRDefault="00000000" w:rsidRPr="00000000" w14:paraId="0000003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3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Moje budoucnost - svět práce a kariéra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vytváří vizi pro svůj budoucí život a kariéru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své hodnoty spojené se seberealizací a aktivním zapojením do světa práce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tvoří svůj kariérový plán, rozpozná relevantní vzdělávací a pracovní příležitosti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využívá různé  kariérové informace, vztahy a sítě ve fyzickém a digitálním prostředí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vyhledává a vyhodnocuje kariérní příležitosti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tvoří a využívá osobní kariérní portfolio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reflektuje prostřednictvím portfolia své dovednosti, zájmy, úspěchy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zaznamenává průběžně vhodnou formou důkazy o svých dovednostech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získává a reflektuje zkušenosti se světem práce</w:t>
            </w:r>
          </w:p>
          <w:p w:rsidR="00000000" w:rsidDel="00000000" w:rsidP="00000000" w:rsidRDefault="00000000" w:rsidRPr="00000000" w14:paraId="0000003D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6">
            <w:pPr>
              <w:spacing w:after="60" w:line="256" w:lineRule="auto"/>
              <w:ind w:left="0" w:right="10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60" w:line="256" w:lineRule="auto"/>
              <w:ind w:left="0" w:right="10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4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Rozvoj osobnosti - psychologie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psychologie jako věda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chování a prožívání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psychické jevy a procesy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psychické vlastnosti osobnosti (temperament, charakter, motivace, zájmy)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učení a myšlení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sebepoznání, sebehodnocení, seberegulace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etapy lidského vývoje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životní krize (šikana, stres, násilí, poruchy nervové soustavy, syndrom vyhoření, frustrace, deprese)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závislosti</w:t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55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Spolupráce a vztahy s druhými - sociologie, mediální komunikace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sociologie jako věda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metody sociologického výzkumu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socializace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sociální pozice a role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sociální útvary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komunikace verbální a neverbální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asertivita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rozvrstvení společnosti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sociální vnímání (stereotypy, předsudky)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sociální problémy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působení a vliv masových médií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život na sociálních sítích</w:t>
            </w:r>
          </w:p>
          <w:p w:rsidR="00000000" w:rsidDel="00000000" w:rsidP="00000000" w:rsidRDefault="00000000" w:rsidRPr="00000000" w14:paraId="0000006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6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Zdravý a bezpečný život - výchova ke zdraví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výživa a stravovací návyky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životní prostředí a životní styl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duševní zdraví a rozvoj osobnosti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rizikové faktory poškozující zdraví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prevence úrazů a nemocí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mimořádné události (živelné pohromy, havárie, krizové situace)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první pomoc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poranění při hromadném zasažení obyvatel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stavy bezprostředně ohrožující život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partnerské vztahy, lidská sexualita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práva a povinnosti v případě nemoci nebo úrazu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základní úkoly ochrany obyvatelstva (varování, evakuace)</w:t>
            </w:r>
          </w:p>
          <w:p w:rsidR="00000000" w:rsidDel="00000000" w:rsidP="00000000" w:rsidRDefault="00000000" w:rsidRPr="00000000" w14:paraId="0000007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71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Moje budoucnost - svět práce a kariéra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Zákoník práce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formy pracovního vztahu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práva a povinnosti zaměstnance a zaměstnavatele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služby Úřadu práce, rekvalifikace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služby při hledání práce a pracovní agentury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trh práce, požadavky zaměstnavatelů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Pracovní smlouva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Dohoda o pracovní činnosti, Dohoda o provedení práce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motivační dopis, žádost o zaměstnání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životopis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přijímací pohovor a výběrové řízení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služby kariérového poradenství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pracovní a studijní uplatnění po absolvování příslušného oboru vzdělávání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možnosti studia v zahraničí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3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aktivní plánování a projektování profesní kariéry</w:t>
            </w:r>
          </w:p>
          <w:p w:rsidR="00000000" w:rsidDel="00000000" w:rsidP="00000000" w:rsidRDefault="00000000" w:rsidRPr="00000000" w14:paraId="0000008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5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5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97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9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9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 syntéza poznatků, práce s modely u </w:t>
            </w:r>
            <w:r w:rsidDel="00000000" w:rsidR="00000000" w:rsidRPr="00000000">
              <w:rPr>
                <w:rtl w:val="0"/>
              </w:rPr>
              <w:t xml:space="preserve">první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pomoci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spacing w:line="257" w:lineRule="auto"/>
              <w:ind w:left="860" w:right="851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Základy společenských věd, učebnice pro střední odborné školy, TAKTIK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spacing w:line="257" w:lineRule="auto"/>
              <w:ind w:left="860" w:right="851" w:hanging="360"/>
            </w:pPr>
            <w:r w:rsidDel="00000000" w:rsidR="00000000" w:rsidRPr="00000000">
              <w:rPr>
                <w:rtl w:val="0"/>
              </w:rPr>
              <w:t xml:space="preserve">Základy společenských věd, pracovní sešit pro střední odborné školy, TAKTIK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spacing w:line="257" w:lineRule="auto"/>
              <w:ind w:left="860" w:right="851" w:hanging="360"/>
              <w:rPr>
                <w:rFonts w:ascii="Times New Roman" w:cs="Times New Roman" w:eastAsia="Times New Roman" w:hAnsi="Times New Roman"/>
              </w:rPr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1"/>
              </w:numPr>
              <w:spacing w:line="257" w:lineRule="auto"/>
              <w:ind w:left="860" w:right="851" w:hanging="360"/>
              <w:rPr>
                <w:rFonts w:ascii="Noto Sans Symbols" w:cs="Noto Sans Symbols" w:eastAsia="Noto Sans Symbols" w:hAnsi="Noto Sans Symbols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9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A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A14/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OSV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8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5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3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4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6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s://classroom.google.com/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