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Programování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124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LY-A07-Informatika I, LY-C07-Informatika II, LY-C12-Pokročilá analýza dat.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240" w:before="240" w:line="257" w:lineRule="auto"/>
              <w:rPr/>
            </w:pPr>
            <w:r w:rsidDel="00000000" w:rsidR="00000000" w:rsidRPr="00000000">
              <w:rPr>
                <w:rtl w:val="0"/>
              </w:rPr>
              <w:t xml:space="preserve">Cílem předmětu je seznámit žáky s programováním v jazyce php s využitím mysql databází a rozšířit jejich znalosti programování v jazyce Python o možnosti tvorby grafického rozhraní, práci se soubory a tvorbu webových stránek.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</w:p>
          <w:p w:rsidR="00000000" w:rsidDel="00000000" w:rsidP="00000000" w:rsidRDefault="00000000" w:rsidRPr="00000000" w14:paraId="00000010">
            <w:pPr>
              <w:widowControl w:val="1"/>
              <w:spacing w:line="259" w:lineRule="auto"/>
              <w:ind w:left="283.464566929133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vyjadřuje se odborně správně s využitím vhodné terminologie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používá odborné pojmy ve svém vyjadřování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zdůvodňuje návrh řešení s využitím odborné terminologie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studuje odbornou literaturu</w:t>
            </w:r>
          </w:p>
          <w:p w:rsidR="00000000" w:rsidDel="00000000" w:rsidP="00000000" w:rsidRDefault="00000000" w:rsidRPr="00000000" w14:paraId="00000014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283.46456692913375" w:right="0" w:firstLine="0"/>
              <w:jc w:val="left"/>
              <w:rPr>
                <w:b w:val="1"/>
                <w:highlight w:val="whit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vytváří</w:t>
            </w:r>
            <w:r w:rsidDel="00000000" w:rsidR="00000000" w:rsidRPr="00000000">
              <w:rPr>
                <w:b w:val="1"/>
                <w:highlight w:val="white"/>
                <w:rtl w:val="0"/>
              </w:rPr>
              <w:t xml:space="preserve"> kompletní webové uživatelské prostředí 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highlight w:val="white"/>
                <w:rtl w:val="0"/>
              </w:rPr>
              <w:t xml:space="preserve">n</w:t>
            </w:r>
            <w:r w:rsidDel="00000000" w:rsidR="00000000" w:rsidRPr="00000000">
              <w:rPr>
                <w:rtl w:val="0"/>
              </w:rPr>
              <w:t xml:space="preserve">avrhne uživatelsky přívětivé webové prostředí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zpracuje data získaná z webové stránky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v</w:t>
            </w:r>
            <w:r w:rsidDel="00000000" w:rsidR="00000000" w:rsidRPr="00000000">
              <w:rPr>
                <w:highlight w:val="white"/>
                <w:rtl w:val="0"/>
              </w:rPr>
              <w:t xml:space="preserve">yužívá dostupné knihovny</w:t>
            </w:r>
          </w:p>
          <w:p w:rsidR="00000000" w:rsidDel="00000000" w:rsidP="00000000" w:rsidRDefault="00000000" w:rsidRPr="00000000" w14:paraId="00000019">
            <w:pPr>
              <w:spacing w:line="257" w:lineRule="auto"/>
              <w:ind w:right="851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283.46456692913375" w:right="0" w:firstLine="0"/>
              <w:jc w:val="left"/>
              <w:rPr>
                <w:b w:val="1"/>
                <w:highlight w:val="whit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využívá</w:t>
            </w:r>
            <w:r w:rsidDel="00000000" w:rsidR="00000000" w:rsidRPr="00000000">
              <w:rPr>
                <w:b w:val="1"/>
                <w:highlight w:val="white"/>
                <w:rtl w:val="0"/>
              </w:rPr>
              <w:t xml:space="preserve"> při tvorbě webu databázi mysql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definuje výhody použití jazyka SQL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použije základní příkazy jazyka SQL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navrhne strukturu tabulek a relací mezi nimi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vytvoří dotazy v jazyce SQL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v</w:t>
            </w:r>
            <w:r w:rsidDel="00000000" w:rsidR="00000000" w:rsidRPr="00000000">
              <w:rPr>
                <w:highlight w:val="white"/>
                <w:rtl w:val="0"/>
              </w:rPr>
              <w:t xml:space="preserve">ytvoří sestavu s agregačními funkcemi;</w:t>
            </w:r>
          </w:p>
          <w:p w:rsidR="00000000" w:rsidDel="00000000" w:rsidP="00000000" w:rsidRDefault="00000000" w:rsidRPr="00000000" w14:paraId="00000020">
            <w:pPr>
              <w:spacing w:line="257" w:lineRule="auto"/>
              <w:ind w:right="851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283.46456692913375" w:right="0" w:firstLine="0"/>
              <w:jc w:val="left"/>
              <w:rPr>
                <w:b w:val="1"/>
                <w:highlight w:val="whit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rozumí</w:t>
            </w:r>
            <w:r w:rsidDel="00000000" w:rsidR="00000000" w:rsidRPr="00000000">
              <w:rPr>
                <w:b w:val="1"/>
                <w:highlight w:val="white"/>
                <w:rtl w:val="0"/>
              </w:rPr>
              <w:t xml:space="preserve"> významu testování při vývoji aplikací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používá verzovací systém a pracuje s ním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testuje integritu softwaru pro různé vstupy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po</w:t>
            </w:r>
            <w:r w:rsidDel="00000000" w:rsidR="00000000" w:rsidRPr="00000000">
              <w:rPr>
                <w:highlight w:val="white"/>
                <w:rtl w:val="0"/>
              </w:rPr>
              <w:t xml:space="preserve">pisuje a zaznamenává chyby v softwaru</w:t>
            </w:r>
          </w:p>
          <w:p w:rsidR="00000000" w:rsidDel="00000000" w:rsidP="00000000" w:rsidRDefault="00000000" w:rsidRPr="00000000" w14:paraId="00000025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283.46456692913375" w:right="0" w:firstLine="0"/>
              <w:jc w:val="left"/>
              <w:rPr>
                <w:b w:val="1"/>
                <w:highlight w:val="whit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řeší</w:t>
            </w:r>
            <w:r w:rsidDel="00000000" w:rsidR="00000000" w:rsidRPr="00000000">
              <w:rPr>
                <w:b w:val="1"/>
                <w:highlight w:val="white"/>
                <w:rtl w:val="0"/>
              </w:rPr>
              <w:t xml:space="preserve"> projekty, které kombinují prvky vědy, technologie, inženýrství a matematiky a jsou obsahově zaměřené na uvedené okruhy STEM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sbírá, zpracovává a vyhodnocuje a využívá data 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aktivně využívá vhodné digitální technologie a nástroje umělé inteligence, přitom se bezpečně pohybuje v digitálním prostředí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čte</w:t>
            </w:r>
            <w:r w:rsidDel="00000000" w:rsidR="00000000" w:rsidRPr="00000000">
              <w:rPr>
                <w:highlight w:val="white"/>
                <w:rtl w:val="0"/>
              </w:rPr>
              <w:t xml:space="preserve">, využívá a vytváří technickou dokumentaci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0" w:right="851" w:firstLine="0"/>
              <w:jc w:val="left"/>
              <w:rPr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1"/>
              <w:spacing w:line="311" w:lineRule="auto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line="257" w:lineRule="auto"/>
              <w:ind w:left="850.3937007874017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line="257" w:lineRule="auto"/>
              <w:ind w:left="850.3937007874017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spacing w:line="257" w:lineRule="auto"/>
              <w:ind w:left="850.3937007874017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30">
            <w:pPr>
              <w:spacing w:line="257" w:lineRule="auto"/>
              <w:ind w:left="850.3937007874017" w:right="851" w:hanging="36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2"/>
              </w:numPr>
              <w:spacing w:line="257" w:lineRule="auto"/>
              <w:ind w:left="850.3937007874017" w:right="851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Logicko-matematická gramotnost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ind w:left="283.46456692913375" w:firstLine="0"/>
              <w:rPr/>
            </w:pPr>
            <w:r w:rsidDel="00000000" w:rsidR="00000000" w:rsidRPr="00000000">
              <w:rPr>
                <w:rtl w:val="0"/>
              </w:rPr>
              <w:t xml:space="preserve">3. ročník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6" w:lineRule="auto"/>
              <w:ind w:left="283.46456692913375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</w:t>
            </w:r>
            <w:r w:rsidDel="00000000" w:rsidR="00000000" w:rsidRPr="00000000">
              <w:rPr>
                <w:rtl w:val="0"/>
              </w:rPr>
              <w:t xml:space="preserve">hp a databáze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jazyk php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zákl. struktura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knihovny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databáze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princip, klíče, indexace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mySQL - tvorba dotazů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Big Data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6" w:lineRule="auto"/>
              <w:ind w:left="283.46456692913375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6" w:lineRule="auto"/>
              <w:ind w:left="283.46456692913375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Pokročilé možnosti jazyka Python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datové struktury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práce se soubory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GUI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tvorba webových stránek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knihovny</w:t>
            </w:r>
          </w:p>
          <w:p w:rsidR="00000000" w:rsidDel="00000000" w:rsidP="00000000" w:rsidRDefault="00000000" w:rsidRPr="00000000" w14:paraId="00000044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Badatelství a řešení problémů s podporou digitálních technologií 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Vrstevnické učení 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Výklad s důrazem na teoretické základy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Realizace projektů 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Podpora rozvoje prezentačních dovedností 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Využití počítačových programů pro vizualizaci a řešení úloh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samostatná/skupinová tvůrčí práce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projekty – výstup, prezentace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úlohy/problému/situace;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řešení (standardizovaných) písemných testových úloh, prověrky;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zpětnovazebný rozhovor, 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ústní zkoušení učitelem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50.3937007874017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akt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ivita v hodinách a účast na diskuzích</w:t>
            </w:r>
          </w:p>
          <w:p w:rsidR="00000000" w:rsidDel="00000000" w:rsidP="00000000" w:rsidRDefault="00000000" w:rsidRPr="00000000" w14:paraId="0000005B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 </w:t>
            </w:r>
            <w:r w:rsidDel="00000000" w:rsidR="00000000" w:rsidRPr="00000000">
              <w:rPr>
                <w:rtl w:val="0"/>
              </w:rPr>
              <w:t xml:space="preserve">(co znamená splnění výsledků učení, kdy je splněna celá vyučovací jednotka, kritéria pro známky, příp. procentuální, slovní hodnocení)</w:t>
            </w:r>
          </w:p>
          <w:p w:rsidR="00000000" w:rsidDel="00000000" w:rsidP="00000000" w:rsidRDefault="00000000" w:rsidRPr="00000000" w14:paraId="0000005D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5E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5F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syntéza poznatků, práce s modely a zákonitostmi,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postojů. 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6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C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D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C11/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Programování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