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0BB5" w:rsidRPr="00271F98" w:rsidRDefault="0051268B" w:rsidP="00271F98">
      <w:pPr>
        <w:pStyle w:val="kapitola"/>
        <w:spacing w:before="0" w:after="0"/>
      </w:pPr>
      <w:r w:rsidRPr="00271F98">
        <w:t>Latina</w:t>
      </w:r>
    </w:p>
    <w:p w:rsidR="00271F98" w:rsidRDefault="00271F98" w:rsidP="00271F98">
      <w:pPr>
        <w:pStyle w:val="kapitolka"/>
      </w:pPr>
      <w:r>
        <w:t>Charakteristika</w:t>
      </w:r>
    </w:p>
    <w:p w:rsidR="00271F98" w:rsidRDefault="00271F98" w:rsidP="00271F98">
      <w:pPr>
        <w:pStyle w:val="podkapitolka"/>
        <w:keepNext/>
      </w:pPr>
      <w:r>
        <w:t>Obsahové, časové a organizační vymezení předmětu</w:t>
      </w:r>
    </w:p>
    <w:p w:rsidR="00F80BB5" w:rsidRDefault="00F80BB5" w:rsidP="005445CF">
      <w:pPr>
        <w:pStyle w:val="textik"/>
      </w:pPr>
      <w:r>
        <w:t xml:space="preserve">Povinně volitelný vyučovací předmět Latina má časovou dotaci dvě hodiny týdně ve třetím a čtvrtém ročníku čtyřletého a víceletého gymnázia. Žáci si ho mohou zvolit jako jednoletý nebo dvouletý seminář. </w:t>
      </w:r>
    </w:p>
    <w:p w:rsidR="005256EC" w:rsidRDefault="00F80BB5" w:rsidP="005445CF">
      <w:pPr>
        <w:pStyle w:val="textik"/>
      </w:pPr>
      <w:r>
        <w:t>Svým interdisciplinárním charakterem spadá výuka latinského jazyka do několika vzdě</w:t>
      </w:r>
      <w:r w:rsidR="00777FAD">
        <w:t>lávacích oblastí. Základem</w:t>
      </w:r>
      <w:r>
        <w:t xml:space="preserve"> je poznávání systému latinské gramatiky, odborné jazykové terminologie a slovní zásoby.  Tím je latina primárně součástí oblasti </w:t>
      </w:r>
      <w:r w:rsidRPr="005445CF">
        <w:t>Jazyk a jazyková komunikace</w:t>
      </w:r>
      <w:r>
        <w:t xml:space="preserve">. Výuka se však dotýká také historie, filozofie, literatury, dějin umění a antických reálií. Tady se uplatňují vzdělávací oblasti </w:t>
      </w:r>
      <w:r w:rsidRPr="005445CF">
        <w:t xml:space="preserve">Umění a kultura </w:t>
      </w:r>
      <w:r w:rsidRPr="00F80BB5">
        <w:t>a</w:t>
      </w:r>
      <w:r w:rsidRPr="005445CF">
        <w:t xml:space="preserve"> Člověk a společnost</w:t>
      </w:r>
      <w:r>
        <w:t>.</w:t>
      </w:r>
      <w:r w:rsidR="005256EC">
        <w:t xml:space="preserve"> </w:t>
      </w:r>
      <w:r w:rsidR="001426F9">
        <w:t xml:space="preserve">Osvojováním si slovní zásoby z oblasti přírodních věd se latina dotýká také oblasti </w:t>
      </w:r>
      <w:r w:rsidR="001426F9" w:rsidRPr="005445CF">
        <w:t>Člověk a příroda</w:t>
      </w:r>
      <w:r w:rsidR="001426F9">
        <w:t>.</w:t>
      </w:r>
    </w:p>
    <w:p w:rsidR="005256EC" w:rsidRDefault="005256EC" w:rsidP="005445CF">
      <w:pPr>
        <w:pStyle w:val="textik"/>
      </w:pPr>
      <w:r>
        <w:t>Pevná pravidla latinské gramatiky rozvíjí u žáků logické myšlení a myšlení v souvislostech a umožňují jim s větším porozuměním také ovládnout gramatiku češtiny i cizích jazyků. Osvojováním latinské slovní zásoby</w:t>
      </w:r>
      <w:r w:rsidR="001426F9">
        <w:t xml:space="preserve"> žáci snadněji porozumí slovům, která z latiny přejaly cizí jazyky a čeština. Posiluje se jejich schopnost odvozovat. </w:t>
      </w:r>
    </w:p>
    <w:p w:rsidR="001426F9" w:rsidRDefault="00F80BB5" w:rsidP="005445CF">
      <w:pPr>
        <w:pStyle w:val="textik"/>
      </w:pPr>
      <w:r>
        <w:t xml:space="preserve">Realizují se tematické okruhy průřezových témat </w:t>
      </w:r>
      <w:r w:rsidRPr="005445CF">
        <w:t>Osobnostní a sociální výchova, Výchova k myšlení v evropských a globálních souvis</w:t>
      </w:r>
      <w:r w:rsidR="00777FAD" w:rsidRPr="005445CF">
        <w:t xml:space="preserve">lostech, Multikulturní výchova </w:t>
      </w:r>
      <w:r w:rsidR="00777FAD" w:rsidRPr="00777FAD">
        <w:t>a</w:t>
      </w:r>
      <w:r w:rsidR="00777FAD" w:rsidRPr="005445CF">
        <w:t> </w:t>
      </w:r>
      <w:r w:rsidRPr="005445CF">
        <w:t>Mediální výchova</w:t>
      </w:r>
      <w:r w:rsidR="001426F9" w:rsidRPr="005445CF">
        <w:t xml:space="preserve"> </w:t>
      </w:r>
      <w:r>
        <w:t xml:space="preserve">RVP GV. </w:t>
      </w:r>
    </w:p>
    <w:p w:rsidR="00271F98" w:rsidRDefault="00F80BB5" w:rsidP="005445CF">
      <w:pPr>
        <w:pStyle w:val="textik"/>
      </w:pPr>
      <w:r>
        <w:t>V hodinách žáci používají učebnice schválené MŠMT</w:t>
      </w:r>
      <w:r w:rsidR="001426F9">
        <w:t>.</w:t>
      </w:r>
    </w:p>
    <w:p w:rsidR="005445CF" w:rsidRDefault="005445CF" w:rsidP="005445CF">
      <w:pPr>
        <w:pStyle w:val="textik"/>
      </w:pPr>
    </w:p>
    <w:p w:rsidR="00F80BB5" w:rsidRPr="00271F98" w:rsidRDefault="00F80BB5" w:rsidP="00271F98">
      <w:pPr>
        <w:pStyle w:val="podkapitolka"/>
        <w:keepNext/>
      </w:pPr>
      <w:r w:rsidRPr="00271F98">
        <w:t>Výchovné a vzdělávací strategie</w:t>
      </w:r>
    </w:p>
    <w:p w:rsidR="00F80BB5" w:rsidRPr="00271F98" w:rsidRDefault="00F80BB5" w:rsidP="00271F98">
      <w:pPr>
        <w:pStyle w:val="kompetence"/>
      </w:pPr>
      <w:r w:rsidRPr="00271F98">
        <w:t>Kompetence k učení</w:t>
      </w:r>
    </w:p>
    <w:p w:rsidR="00F80BB5" w:rsidRDefault="00F80BB5" w:rsidP="00271F98">
      <w:pPr>
        <w:pStyle w:val="textik"/>
      </w:pPr>
      <w:r>
        <w:t>Učitel:</w:t>
      </w:r>
    </w:p>
    <w:p w:rsidR="00F80BB5" w:rsidRDefault="00F80BB5" w:rsidP="00271F98">
      <w:pPr>
        <w:pStyle w:val="odrkatext"/>
        <w:ind w:left="709" w:hanging="255"/>
      </w:pPr>
      <w:r>
        <w:t>do hodin zařazuje skupinovou i samostatnou práci</w:t>
      </w:r>
    </w:p>
    <w:p w:rsidR="00F80BB5" w:rsidRDefault="00F80BB5" w:rsidP="00271F98">
      <w:pPr>
        <w:pStyle w:val="odrkatext"/>
        <w:ind w:left="709" w:hanging="255"/>
      </w:pPr>
      <w:r>
        <w:t>vede žáky k</w:t>
      </w:r>
      <w:r w:rsidR="002E3624">
        <w:t> efektivnímu získávání poznatků</w:t>
      </w:r>
      <w:r>
        <w:t>, třídění a vyhodnoco</w:t>
      </w:r>
      <w:r w:rsidR="002E3624">
        <w:t>vání informací z různých zdrojů</w:t>
      </w:r>
    </w:p>
    <w:p w:rsidR="002E3624" w:rsidRDefault="00867D14" w:rsidP="00271F98">
      <w:pPr>
        <w:pStyle w:val="odrkatext"/>
        <w:ind w:left="709" w:hanging="255"/>
      </w:pPr>
      <w:r>
        <w:t>učí žáky propojovat a systematizovat již nabyté vědomosti</w:t>
      </w:r>
    </w:p>
    <w:p w:rsidR="00F80BB5" w:rsidRDefault="00F80BB5" w:rsidP="00271F98">
      <w:pPr>
        <w:pStyle w:val="odrkatext"/>
        <w:ind w:left="709" w:hanging="255"/>
      </w:pPr>
      <w:r>
        <w:t>motivuje žáky k celoživotnímu učení</w:t>
      </w:r>
    </w:p>
    <w:p w:rsidR="002E3624" w:rsidRDefault="002E3624" w:rsidP="00271F98">
      <w:pPr>
        <w:pStyle w:val="odrkatext"/>
        <w:ind w:left="709" w:hanging="255"/>
      </w:pPr>
      <w:r>
        <w:t>hodnotí práci žáků, rozvíjí jejich kritický postoj k vlastní práci</w:t>
      </w:r>
    </w:p>
    <w:p w:rsidR="00F80BB5" w:rsidRPr="00271F98" w:rsidRDefault="00F80BB5" w:rsidP="00271F98">
      <w:pPr>
        <w:pStyle w:val="kompetence"/>
      </w:pPr>
      <w:r w:rsidRPr="00271F98">
        <w:t>Kompetence k řešení problémů</w:t>
      </w:r>
    </w:p>
    <w:p w:rsidR="00F80BB5" w:rsidRDefault="00F80BB5" w:rsidP="00271F98">
      <w:pPr>
        <w:pStyle w:val="textik"/>
      </w:pPr>
      <w:r>
        <w:t>Učitel:</w:t>
      </w:r>
    </w:p>
    <w:p w:rsidR="00F80BB5" w:rsidRDefault="00F80BB5" w:rsidP="00271F98">
      <w:pPr>
        <w:pStyle w:val="odrkatext"/>
        <w:tabs>
          <w:tab w:val="clear" w:pos="720"/>
        </w:tabs>
        <w:ind w:left="709" w:hanging="255"/>
      </w:pPr>
      <w:r>
        <w:t>pod</w:t>
      </w:r>
      <w:r w:rsidR="00777FAD">
        <w:t>něcuje žáky k tvořivému myšlení a</w:t>
      </w:r>
      <w:r>
        <w:t xml:space="preserve"> logickému uvažování při řešení </w:t>
      </w:r>
      <w:r>
        <w:lastRenderedPageBreak/>
        <w:t>problémů</w:t>
      </w:r>
    </w:p>
    <w:p w:rsidR="007422BE" w:rsidRPr="007422BE" w:rsidRDefault="007422BE" w:rsidP="00271F98">
      <w:pPr>
        <w:pStyle w:val="odrkatext"/>
        <w:tabs>
          <w:tab w:val="clear" w:pos="720"/>
        </w:tabs>
        <w:ind w:left="709" w:hanging="255"/>
      </w:pPr>
      <w:r>
        <w:t xml:space="preserve">učí žáky zobecňovat a používat získané vědomosti </w:t>
      </w:r>
    </w:p>
    <w:p w:rsidR="00F80BB5" w:rsidRDefault="00F80BB5" w:rsidP="00271F98">
      <w:pPr>
        <w:pStyle w:val="odrkatext"/>
        <w:tabs>
          <w:tab w:val="clear" w:pos="720"/>
        </w:tabs>
        <w:ind w:left="709" w:hanging="255"/>
      </w:pPr>
      <w:r>
        <w:t>podporuje týmovou spolupráci při řešení problémů</w:t>
      </w:r>
    </w:p>
    <w:p w:rsidR="00F80BB5" w:rsidRDefault="00332E54" w:rsidP="00271F98">
      <w:pPr>
        <w:pStyle w:val="odrkatext"/>
        <w:tabs>
          <w:tab w:val="clear" w:pos="720"/>
        </w:tabs>
        <w:ind w:left="709" w:hanging="255"/>
      </w:pPr>
      <w:r>
        <w:t xml:space="preserve">vede žáky k poznávání nových postupů a řešení problémů, k navrhování různých variant řešení problémů, </w:t>
      </w:r>
      <w:r w:rsidR="006502AB">
        <w:t xml:space="preserve">ke </w:t>
      </w:r>
      <w:r>
        <w:t>zva</w:t>
      </w:r>
      <w:r w:rsidR="007422BE">
        <w:t xml:space="preserve">žování jejich předností a možných </w:t>
      </w:r>
      <w:r>
        <w:t>negativní</w:t>
      </w:r>
      <w:r w:rsidR="007422BE">
        <w:t>ch důsledků</w:t>
      </w:r>
    </w:p>
    <w:p w:rsidR="00F80BB5" w:rsidRPr="00271F98" w:rsidRDefault="00F80BB5" w:rsidP="00271F98">
      <w:pPr>
        <w:pStyle w:val="kompetence"/>
      </w:pPr>
      <w:r w:rsidRPr="00271F98">
        <w:t>Kompetence komunikativní</w:t>
      </w:r>
    </w:p>
    <w:p w:rsidR="00F80BB5" w:rsidRDefault="00F80BB5" w:rsidP="00271F98">
      <w:pPr>
        <w:pStyle w:val="textik"/>
      </w:pPr>
      <w:r>
        <w:t>Učitel:</w:t>
      </w:r>
    </w:p>
    <w:p w:rsidR="00F80BB5" w:rsidRDefault="00F80BB5" w:rsidP="00271F98">
      <w:pPr>
        <w:pStyle w:val="odrkatext"/>
        <w:tabs>
          <w:tab w:val="clear" w:pos="720"/>
        </w:tabs>
        <w:ind w:left="709" w:hanging="255"/>
      </w:pPr>
      <w:r>
        <w:t xml:space="preserve">zadáváním referátů a prezentací rozvíjí schopnosti žáka vyjadřovat své názory a myšlenky a </w:t>
      </w:r>
      <w:r w:rsidR="006502AB">
        <w:t>adekvátně vystupovat na veřejnosti</w:t>
      </w:r>
    </w:p>
    <w:p w:rsidR="006502AB" w:rsidRDefault="006502AB" w:rsidP="00271F98">
      <w:pPr>
        <w:pStyle w:val="odrkatext"/>
        <w:tabs>
          <w:tab w:val="clear" w:pos="720"/>
        </w:tabs>
        <w:ind w:left="709" w:hanging="255"/>
      </w:pPr>
      <w:r>
        <w:t>vede žáky k</w:t>
      </w:r>
      <w:r w:rsidR="006912FF">
        <w:t>e</w:t>
      </w:r>
      <w:r>
        <w:t> správné interpretaci přijímaného sdělení a věcné argumentaci</w:t>
      </w:r>
    </w:p>
    <w:p w:rsidR="00F80BB5" w:rsidRPr="00271F98" w:rsidRDefault="00F80BB5" w:rsidP="00271F98">
      <w:pPr>
        <w:pStyle w:val="kompetence"/>
      </w:pPr>
      <w:r w:rsidRPr="00271F98">
        <w:t>Kompetence sociální a personální</w:t>
      </w:r>
    </w:p>
    <w:p w:rsidR="00F80BB5" w:rsidRDefault="00F80BB5" w:rsidP="00271F98">
      <w:pPr>
        <w:pStyle w:val="textik"/>
      </w:pPr>
      <w:r>
        <w:t>Učitel:</w:t>
      </w:r>
    </w:p>
    <w:p w:rsidR="006502AB" w:rsidRDefault="006502AB" w:rsidP="00271F98">
      <w:pPr>
        <w:pStyle w:val="odrkatext"/>
        <w:tabs>
          <w:tab w:val="clear" w:pos="720"/>
        </w:tabs>
        <w:ind w:left="709" w:hanging="255"/>
      </w:pPr>
      <w:r>
        <w:t>učí žáky stanovit si cíle a priority s ohledem na jejich schopnosti a zájmovou orientaci</w:t>
      </w:r>
    </w:p>
    <w:p w:rsidR="00F80BB5" w:rsidRDefault="00F80BB5" w:rsidP="00271F98">
      <w:pPr>
        <w:pStyle w:val="odrkatext"/>
        <w:tabs>
          <w:tab w:val="clear" w:pos="720"/>
        </w:tabs>
        <w:ind w:left="709" w:hanging="255"/>
      </w:pPr>
      <w:r>
        <w:t>rozvíjí u žáků schopnost spolupracovat,</w:t>
      </w:r>
      <w:r w:rsidR="006912FF">
        <w:t xml:space="preserve"> pracovat v týmu, respektovat a </w:t>
      </w:r>
      <w:r>
        <w:t>hodnotit práci vlastní i druhých</w:t>
      </w:r>
    </w:p>
    <w:p w:rsidR="00F80BB5" w:rsidRDefault="00F80BB5" w:rsidP="00271F98">
      <w:pPr>
        <w:pStyle w:val="odrkatext"/>
        <w:tabs>
          <w:tab w:val="clear" w:pos="720"/>
        </w:tabs>
        <w:ind w:left="709" w:hanging="255"/>
      </w:pPr>
      <w:r>
        <w:t>podporuje aktivitu žáků, ochotu při řešení problémů a dobré mezilidské vztahy</w:t>
      </w:r>
    </w:p>
    <w:p w:rsidR="006502AB" w:rsidRDefault="006502AB" w:rsidP="00271F98">
      <w:pPr>
        <w:pStyle w:val="odrkatext"/>
        <w:tabs>
          <w:tab w:val="clear" w:pos="720"/>
        </w:tabs>
        <w:ind w:left="709" w:hanging="255"/>
      </w:pPr>
      <w:r>
        <w:t>vede žáky adaptovat se na měnící se životní a pracovní podmínky a podle jejich možností je aktivně ovlivňovat</w:t>
      </w:r>
    </w:p>
    <w:p w:rsidR="00F80BB5" w:rsidRPr="00271F98" w:rsidRDefault="00271F98" w:rsidP="00271F98">
      <w:pPr>
        <w:pStyle w:val="kompetence"/>
      </w:pPr>
      <w:r>
        <w:t>Kompetence občanské</w:t>
      </w:r>
    </w:p>
    <w:p w:rsidR="00F80BB5" w:rsidRDefault="00F80BB5" w:rsidP="00271F98">
      <w:pPr>
        <w:pStyle w:val="textik"/>
      </w:pPr>
      <w:r>
        <w:t>Učitel:</w:t>
      </w:r>
    </w:p>
    <w:p w:rsidR="00BF6C0D" w:rsidRDefault="00BF6C0D" w:rsidP="00271F98">
      <w:pPr>
        <w:pStyle w:val="odrkatext"/>
        <w:tabs>
          <w:tab w:val="clear" w:pos="720"/>
        </w:tabs>
        <w:ind w:left="709" w:hanging="255"/>
      </w:pPr>
      <w:r>
        <w:t>vede žáky k zodpovědnému přístupu k plnění jejich povinností a úkolů</w:t>
      </w:r>
    </w:p>
    <w:p w:rsidR="00BF6C0D" w:rsidRDefault="00742862" w:rsidP="00271F98">
      <w:pPr>
        <w:pStyle w:val="odrkatext"/>
        <w:tabs>
          <w:tab w:val="clear" w:pos="720"/>
        </w:tabs>
        <w:ind w:left="709" w:hanging="255"/>
      </w:pPr>
      <w:r>
        <w:t>podporuje kladný vztah žáků k uměleckým a historickým dílům a hodnotám</w:t>
      </w:r>
    </w:p>
    <w:p w:rsidR="00742862" w:rsidRDefault="006912FF" w:rsidP="00271F98">
      <w:pPr>
        <w:pStyle w:val="odrkatext"/>
        <w:tabs>
          <w:tab w:val="clear" w:pos="720"/>
        </w:tabs>
        <w:ind w:left="709" w:hanging="255"/>
      </w:pPr>
      <w:r>
        <w:t>rozvíjí schopnost žáků hájit jejich</w:t>
      </w:r>
      <w:r w:rsidR="00742862">
        <w:t xml:space="preserve"> práva a práva jiných, vystupovat proti jejich potlačování</w:t>
      </w:r>
    </w:p>
    <w:p w:rsidR="00742862" w:rsidRDefault="00742862" w:rsidP="00271F98">
      <w:pPr>
        <w:pStyle w:val="odrkatext"/>
        <w:tabs>
          <w:tab w:val="clear" w:pos="720"/>
        </w:tabs>
        <w:ind w:left="709" w:hanging="255"/>
      </w:pPr>
      <w:r>
        <w:t>vede žáky aktivně se zapojovat do občanského života společnosti</w:t>
      </w:r>
    </w:p>
    <w:p w:rsidR="00F80BB5" w:rsidRPr="00271F98" w:rsidRDefault="00F80BB5" w:rsidP="00271F98">
      <w:pPr>
        <w:pStyle w:val="kompetence"/>
      </w:pPr>
      <w:r w:rsidRPr="00271F98">
        <w:t xml:space="preserve">Kompetence </w:t>
      </w:r>
      <w:r w:rsidR="00271F98">
        <w:t>k podnikavosti</w:t>
      </w:r>
    </w:p>
    <w:p w:rsidR="00F80BB5" w:rsidRDefault="00F80BB5" w:rsidP="00271F98">
      <w:pPr>
        <w:pStyle w:val="textik"/>
      </w:pPr>
      <w:r>
        <w:t>Učitel:</w:t>
      </w:r>
    </w:p>
    <w:p w:rsidR="00F80BB5" w:rsidRDefault="00F80BB5" w:rsidP="00271F98">
      <w:pPr>
        <w:pStyle w:val="odrkatext"/>
        <w:tabs>
          <w:tab w:val="clear" w:pos="720"/>
        </w:tabs>
        <w:ind w:left="709" w:hanging="255"/>
      </w:pPr>
      <w:r>
        <w:t>vede žáky k systematické práci</w:t>
      </w:r>
    </w:p>
    <w:p w:rsidR="00E70622" w:rsidRDefault="00E70622" w:rsidP="00271F98">
      <w:pPr>
        <w:pStyle w:val="odrkatext"/>
        <w:tabs>
          <w:tab w:val="clear" w:pos="720"/>
        </w:tabs>
        <w:ind w:left="709" w:hanging="255"/>
      </w:pPr>
      <w:r>
        <w:t>rozvíjí schopnost žáků organizovat společnou činnost, přijímat odpovědnost za svoji práci i práci ostatních, řešit konflikty a</w:t>
      </w:r>
      <w:r w:rsidR="006912FF">
        <w:t xml:space="preserve"> přispívat k vytváření tvůrčí a </w:t>
      </w:r>
      <w:r>
        <w:t>podnětné atmosféry</w:t>
      </w:r>
    </w:p>
    <w:p w:rsidR="00271F98" w:rsidRDefault="00271F98" w:rsidP="00271F98">
      <w:pPr>
        <w:pStyle w:val="kapitolka"/>
        <w:snapToGrid w:val="0"/>
        <w:sectPr w:rsidR="00271F98" w:rsidSect="009A4B54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pgNumType w:start="101"/>
          <w:cols w:space="708"/>
          <w:docGrid w:linePitch="360"/>
        </w:sectPr>
      </w:pPr>
    </w:p>
    <w:p w:rsidR="00271F98" w:rsidRDefault="00271F98" w:rsidP="00271F98">
      <w:pPr>
        <w:pStyle w:val="kapitolka"/>
        <w:snapToGrid w:val="0"/>
      </w:pPr>
      <w:r>
        <w:lastRenderedPageBreak/>
        <w:t>Vzdělávací obsah</w:t>
      </w:r>
    </w:p>
    <w:tbl>
      <w:tblPr>
        <w:tblW w:w="1502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820"/>
      </w:tblGrid>
      <w:tr w:rsidR="005F2E28">
        <w:trPr>
          <w:jc w:val="center"/>
        </w:trPr>
        <w:tc>
          <w:tcPr>
            <w:tcW w:w="4820" w:type="dxa"/>
            <w:gridSpan w:val="3"/>
          </w:tcPr>
          <w:p w:rsidR="005F2E28" w:rsidRDefault="005F2E28" w:rsidP="00E777A9">
            <w:pPr>
              <w:pStyle w:val="kapitolkaosnovy"/>
              <w:tabs>
                <w:tab w:val="right" w:pos="14916"/>
              </w:tabs>
            </w:pPr>
            <w:r>
              <w:t>Latina</w:t>
            </w:r>
            <w:r>
              <w:tab/>
              <w:t xml:space="preserve">1. rok (pro žáky 3. a 4. ročníků, septim a oktáv) </w:t>
            </w:r>
          </w:p>
        </w:tc>
      </w:tr>
      <w:tr w:rsidR="005F2E28">
        <w:trPr>
          <w:jc w:val="center"/>
        </w:trPr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5F2E28" w:rsidRDefault="005F2E28" w:rsidP="005F2E2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5F2E28" w:rsidRDefault="005F2E28" w:rsidP="005F2E2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5F2E28" w:rsidRDefault="005F2E28" w:rsidP="005F2E28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71F98" w:rsidRDefault="005F2E28" w:rsidP="005F2E28">
            <w:pPr>
              <w:pStyle w:val="tabulkanadpis"/>
              <w:snapToGrid w:val="0"/>
            </w:pPr>
            <w:r>
              <w:t>Mezipředmětové vztahy,</w:t>
            </w:r>
          </w:p>
          <w:p w:rsidR="005F2E28" w:rsidRDefault="005F2E28" w:rsidP="005F2E28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5F2E28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F2E28" w:rsidRPr="00320122" w:rsidRDefault="005F2E28" w:rsidP="00321C71">
            <w:pPr>
              <w:pStyle w:val="nadpisve2sl"/>
              <w:rPr>
                <w:b w:val="0"/>
              </w:rPr>
            </w:pPr>
            <w:r w:rsidRPr="00321C71">
              <w:t>Fonetika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čte latinský text se správnou výslovností a přízvukem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pravopisně správně napíše slyšený text</w:t>
            </w:r>
          </w:p>
          <w:p w:rsidR="005F2E28" w:rsidRDefault="005F2E28" w:rsidP="005F2E28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</w:p>
          <w:p w:rsidR="005F2E28" w:rsidRPr="00320122" w:rsidRDefault="005F2E28" w:rsidP="00321C71">
            <w:pPr>
              <w:pStyle w:val="nadpisve2sl"/>
              <w:rPr>
                <w:b w:val="0"/>
              </w:rPr>
            </w:pPr>
            <w:r w:rsidRPr="00321C71">
              <w:t>Morfologie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přiřadí slova k jednotlivým slovním druhům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zařadí podstatná a přídavná jména do deklinačního systému a skloňuje je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 xml:space="preserve">zařadí slovesa do konjugačního systému a časuje je, včetně slovesa </w:t>
            </w:r>
            <w:proofErr w:type="spellStart"/>
            <w:proofErr w:type="gramStart"/>
            <w:r w:rsidRPr="00271F98">
              <w:rPr>
                <w:rFonts w:eastAsia="Times New Roman" w:cs="Times New Roman"/>
                <w:szCs w:val="20"/>
              </w:rPr>
              <w:t>esse</w:t>
            </w:r>
            <w:proofErr w:type="spellEnd"/>
            <w:r w:rsidRPr="00271F98">
              <w:rPr>
                <w:rFonts w:eastAsia="Times New Roman" w:cs="Times New Roman"/>
                <w:szCs w:val="20"/>
              </w:rPr>
              <w:t xml:space="preserve">  a</w:t>
            </w:r>
            <w:proofErr w:type="gramEnd"/>
            <w:r w:rsidRPr="00271F98">
              <w:rPr>
                <w:rFonts w:eastAsia="Times New Roman" w:cs="Times New Roman"/>
                <w:szCs w:val="20"/>
              </w:rPr>
              <w:t xml:space="preserve"> jeho složenin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odvodí latinská příslovce od adjektiv 1.  a 2. deklinace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správně používá předložky ve spojení s pády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používá základní a řadové číslovky od 1 do 100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orientuje se v systému římských číslic</w:t>
            </w:r>
          </w:p>
          <w:p w:rsidR="005F2E28" w:rsidRDefault="005F2E28" w:rsidP="005F2E28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</w:p>
          <w:p w:rsidR="005F2E28" w:rsidRPr="00320122" w:rsidRDefault="005F2E28" w:rsidP="00321C71">
            <w:pPr>
              <w:pStyle w:val="nadpisve2sl"/>
              <w:rPr>
                <w:b w:val="0"/>
              </w:rPr>
            </w:pPr>
            <w:r w:rsidRPr="00321C71">
              <w:t>Syntax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překládá jednoduché věty a jednoduchá souvětí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stylisticky správně přeloží jednoduchý souvislý text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používá správný slovosled</w:t>
            </w:r>
          </w:p>
          <w:p w:rsidR="005F2E28" w:rsidRPr="00321C71" w:rsidRDefault="005F2E28" w:rsidP="00321C71">
            <w:pPr>
              <w:pStyle w:val="nadpisve2sl"/>
            </w:pPr>
            <w:r w:rsidRPr="00321C71">
              <w:t>Slovní</w:t>
            </w:r>
            <w:r w:rsidRPr="00320122">
              <w:rPr>
                <w:b w:val="0"/>
              </w:rPr>
              <w:t xml:space="preserve"> </w:t>
            </w:r>
            <w:r w:rsidRPr="00321C71">
              <w:t>zásoba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aktivně používá vymezenou slovní zásobu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lastRenderedPageBreak/>
              <w:t>další slovní zásobu ovládá pasivně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používá odbornou jazykovou terminologii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orientuje se v latinsko-českém slovníku a vyhledá v něm potřebné informace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hledá jazykové souvislosti a vliv latiny na slovní zásobu moderních jazyků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vysvětlí význam latinských slov a spojení používaných v češtině a živých cizích jazycích</w:t>
            </w:r>
          </w:p>
          <w:p w:rsidR="005F2E2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cituje známé latinské citáty</w:t>
            </w:r>
          </w:p>
          <w:p w:rsidR="005F2E28" w:rsidRDefault="005F2E28" w:rsidP="005F2E2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rPr>
                <w:szCs w:val="20"/>
              </w:rPr>
            </w:pPr>
          </w:p>
          <w:p w:rsidR="005F2E28" w:rsidRPr="00321C71" w:rsidRDefault="005F2E28" w:rsidP="00321C71">
            <w:pPr>
              <w:pStyle w:val="nadpisve2sl"/>
            </w:pPr>
            <w:r w:rsidRPr="00321C71">
              <w:t>Reálie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orientuje se v antické mytologii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uvede hlavní vývojová období římské literatury, jejich nejznámější autory a díla</w:t>
            </w:r>
          </w:p>
          <w:p w:rsidR="005F2E2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zná základní informace o životě antické společnosti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2E2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lastRenderedPageBreak/>
              <w:t>latinská abeceda</w:t>
            </w:r>
          </w:p>
          <w:p w:rsidR="005F2E2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784FB5">
              <w:rPr>
                <w:rFonts w:eastAsia="Times New Roman" w:cs="Times New Roman"/>
                <w:szCs w:val="20"/>
              </w:rPr>
              <w:t>výslovnost</w:t>
            </w:r>
          </w:p>
          <w:p w:rsidR="005F2E28" w:rsidRPr="00784FB5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784FB5">
              <w:rPr>
                <w:rFonts w:eastAsia="Times New Roman" w:cs="Times New Roman"/>
                <w:szCs w:val="20"/>
              </w:rPr>
              <w:t>přízvuk</w:t>
            </w:r>
          </w:p>
          <w:p w:rsidR="005F2E28" w:rsidRDefault="005F2E28" w:rsidP="00271F98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  <w:rPr>
                <w:rFonts w:eastAsia="Times New Roman" w:cs="Times New Roman"/>
                <w:szCs w:val="20"/>
              </w:rPr>
            </w:pPr>
          </w:p>
          <w:p w:rsidR="005F2E28" w:rsidRPr="00784FB5" w:rsidRDefault="005F2E28" w:rsidP="00271F98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  <w:rPr>
                <w:rFonts w:eastAsia="Times New Roman" w:cs="Times New Roman"/>
                <w:szCs w:val="20"/>
              </w:rPr>
            </w:pP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skloňování substantiv všech deklinací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skloňování adjektiv všech stupňů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stupňování pravidelných i nepravidelných adjektiv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zájmena osobní a přivlastňovací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základní a řadové číslovky od 1 do 100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římské číslice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časování sloves všech konjugací v aktivu a pasivu indikativu prézentu, imperfekta a futura I.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 xml:space="preserve">sloveso </w:t>
            </w:r>
            <w:proofErr w:type="spellStart"/>
            <w:r w:rsidRPr="00271F98">
              <w:rPr>
                <w:rFonts w:eastAsia="Times New Roman" w:cs="Times New Roman"/>
                <w:szCs w:val="20"/>
              </w:rPr>
              <w:t>esse</w:t>
            </w:r>
            <w:proofErr w:type="spellEnd"/>
            <w:r w:rsidRPr="00271F98">
              <w:rPr>
                <w:rFonts w:eastAsia="Times New Roman" w:cs="Times New Roman"/>
                <w:szCs w:val="20"/>
              </w:rPr>
              <w:t xml:space="preserve"> a jeho složeniny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deponentní slovesa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tvoření adverbií od adjektiv 1. a 2. deklinace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nejběžnější latinské předložky a předpony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běžné spojky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slovosled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zápor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ablativ časový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latinské citáty a živá latinská slova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internacionalismy, obohacování slovní zásoby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lastRenderedPageBreak/>
              <w:t>vývoj latinského jazyka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odborné termíny z oblasti jazykovědy, biologie a medicíny</w:t>
            </w: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založení Říma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antická mytologie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římské jméno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antická literatura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rPr>
                <w:rFonts w:eastAsia="Times New Roman" w:cs="Times New Roman"/>
                <w:szCs w:val="20"/>
              </w:rPr>
              <w:t>římský kalendář</w:t>
            </w:r>
          </w:p>
          <w:p w:rsidR="005F2E28" w:rsidRPr="00271F98" w:rsidRDefault="005F2E28" w:rsidP="00271F98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271F98">
              <w:t>lékařství v antice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F2E28" w:rsidRDefault="005F2E28" w:rsidP="005F2E28">
            <w:pPr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druhého, etika lidského chování.)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5F2E28" w:rsidRDefault="005F2E28" w:rsidP="005F2E28">
            <w:pPr>
              <w:pStyle w:val="Nadpis1"/>
              <w:numPr>
                <w:ilvl w:val="0"/>
                <w:numId w:val="7"/>
              </w:numPr>
              <w:tabs>
                <w:tab w:val="left" w:pos="0"/>
              </w:tabs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5F2E28" w:rsidRDefault="005F2E28" w:rsidP="005F2E28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(Globalizační a rozvojové procesy, výchova k občanství a k politické kultuře.)</w:t>
            </w:r>
          </w:p>
          <w:p w:rsidR="005F2E28" w:rsidRDefault="005F2E28" w:rsidP="005F2E28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5F2E28" w:rsidRDefault="005F2E28" w:rsidP="005F2E28">
            <w:pPr>
              <w:pStyle w:val="odrka2"/>
              <w:widowControl/>
              <w:suppressAutoHyphens w:val="0"/>
              <w:autoSpaceDE w:val="0"/>
              <w:spacing w:line="240" w:lineRule="auto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 (Rozvíjení tolerance a úcty k odlišné </w:t>
            </w:r>
            <w:proofErr w:type="gramStart"/>
            <w:r>
              <w:rPr>
                <w:rFonts w:eastAsia="Times New Roman" w:cs="Times New Roman"/>
                <w:szCs w:val="20"/>
              </w:rPr>
              <w:t>kultuře,  národu</w:t>
            </w:r>
            <w:proofErr w:type="gramEnd"/>
            <w:r>
              <w:rPr>
                <w:rFonts w:eastAsia="Times New Roman" w:cs="Times New Roman"/>
                <w:szCs w:val="20"/>
              </w:rPr>
              <w:t>, jazyku. Pravidla slušné komunikace.)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lastRenderedPageBreak/>
              <w:t>Mediální produkty a jejich význam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 mediálním sdělením.)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5F2E28" w:rsidRPr="000E122D" w:rsidRDefault="005F2E28" w:rsidP="005F2E28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271F98">
              <w:rPr>
                <w:rFonts w:ascii="Book Antiqua" w:hAnsi="Book Antiqua" w:cs="Arial"/>
                <w:b/>
                <w:color w:val="000000"/>
                <w:sz w:val="20"/>
                <w:szCs w:val="20"/>
              </w:rPr>
              <w:t>ČJ</w:t>
            </w:r>
            <w:r w:rsidRPr="000E122D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– grafická a zvuková stránka jazyka, mluvnická terminologie, slovní zásoba, tvarosloví, skladba,</w:t>
            </w: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frazeologie, indoevropské jazyky, </w:t>
            </w:r>
            <w:r w:rsidRPr="000E122D">
              <w:rPr>
                <w:rFonts w:ascii="Book Antiqua" w:hAnsi="Book Antiqua" w:cs="Arial"/>
                <w:color w:val="000000"/>
                <w:sz w:val="20"/>
                <w:szCs w:val="20"/>
              </w:rPr>
              <w:t>antická literatura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 w:rsidRPr="00271F98">
              <w:rPr>
                <w:b/>
                <w:szCs w:val="20"/>
              </w:rPr>
              <w:t>IN</w:t>
            </w:r>
            <w:r>
              <w:rPr>
                <w:szCs w:val="20"/>
              </w:rPr>
              <w:t xml:space="preserve"> – internet, vyhledávání informací</w:t>
            </w:r>
          </w:p>
          <w:p w:rsidR="005F2E28" w:rsidRDefault="005F2E28" w:rsidP="005F2E28">
            <w:pPr>
              <w:pStyle w:val="odrka2"/>
              <w:widowControl/>
              <w:suppressAutoHyphens w:val="0"/>
              <w:autoSpaceDE w:val="0"/>
              <w:spacing w:line="240" w:lineRule="auto"/>
              <w:rPr>
                <w:rFonts w:eastAsia="Times New Roman"/>
                <w:szCs w:val="20"/>
              </w:rPr>
            </w:pPr>
            <w:r w:rsidRPr="00271F98">
              <w:rPr>
                <w:rFonts w:eastAsia="Times New Roman"/>
                <w:b/>
                <w:szCs w:val="20"/>
              </w:rPr>
              <w:t>D</w:t>
            </w:r>
            <w:r w:rsidR="00271F98">
              <w:rPr>
                <w:rFonts w:eastAsia="Times New Roman"/>
                <w:b/>
                <w:szCs w:val="20"/>
              </w:rPr>
              <w:t>E</w:t>
            </w:r>
            <w:r>
              <w:rPr>
                <w:rFonts w:eastAsia="Times New Roman"/>
                <w:szCs w:val="20"/>
              </w:rPr>
              <w:t xml:space="preserve"> – antický Řím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 w:rsidRPr="00271F98">
              <w:rPr>
                <w:rFonts w:cs="Arial"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římské právo, antická filozofie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 w:rsidRPr="00271F98">
              <w:rPr>
                <w:b/>
                <w:szCs w:val="20"/>
              </w:rPr>
              <w:t xml:space="preserve">BI </w:t>
            </w:r>
            <w:r>
              <w:rPr>
                <w:szCs w:val="20"/>
              </w:rPr>
              <w:t>– lidské tělo, fauna a flora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 w:rsidRPr="00271F98">
              <w:rPr>
                <w:b/>
                <w:szCs w:val="20"/>
              </w:rPr>
              <w:t xml:space="preserve">HV </w:t>
            </w:r>
            <w:r>
              <w:rPr>
                <w:szCs w:val="20"/>
              </w:rPr>
              <w:t>– latina v hudebních dílech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 w:rsidRPr="00271F98">
              <w:rPr>
                <w:rFonts w:cs="Arial"/>
                <w:i w:val="0"/>
                <w:color w:val="000000"/>
                <w:sz w:val="20"/>
                <w:szCs w:val="20"/>
              </w:rPr>
              <w:t>MA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římské číslice</w:t>
            </w:r>
          </w:p>
          <w:p w:rsidR="005F2E28" w:rsidRDefault="005F2E28" w:rsidP="005F2E28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5F2E28" w:rsidRDefault="005F2E28" w:rsidP="005F2E28">
      <w:pPr>
        <w:rPr>
          <w:rFonts w:ascii="Book Antiqua" w:hAnsi="Book Antiqua"/>
          <w:sz w:val="20"/>
          <w:szCs w:val="20"/>
        </w:rPr>
      </w:pPr>
    </w:p>
    <w:p w:rsidR="005F2E28" w:rsidRDefault="005F2E28" w:rsidP="005F2E28"/>
    <w:p w:rsidR="005F2E28" w:rsidRDefault="005F2E28" w:rsidP="005F2E28"/>
    <w:p w:rsidR="005F2E28" w:rsidRDefault="005F2E28" w:rsidP="005F2E28"/>
    <w:p w:rsidR="005F2E28" w:rsidRDefault="005F2E28" w:rsidP="005F2E28">
      <w:r>
        <w:rPr>
          <w:i/>
        </w:rPr>
        <w:br w:type="page"/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820"/>
      </w:tblGrid>
      <w:tr w:rsidR="005F2E28">
        <w:trPr>
          <w:jc w:val="center"/>
        </w:trPr>
        <w:tc>
          <w:tcPr>
            <w:tcW w:w="5103" w:type="dxa"/>
            <w:gridSpan w:val="3"/>
          </w:tcPr>
          <w:p w:rsidR="005F2E28" w:rsidRDefault="005F2E28" w:rsidP="00E777A9">
            <w:pPr>
              <w:pStyle w:val="kapitolkaosnovy"/>
              <w:tabs>
                <w:tab w:val="right" w:pos="14916"/>
              </w:tabs>
            </w:pPr>
            <w:r>
              <w:t>Latina</w:t>
            </w:r>
            <w:r>
              <w:tab/>
              <w:t xml:space="preserve">2. rok (pro žáky 4. ročníků a oktáv) </w:t>
            </w:r>
          </w:p>
        </w:tc>
      </w:tr>
      <w:tr w:rsidR="005F2E28">
        <w:trPr>
          <w:jc w:val="center"/>
        </w:trPr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5F2E28" w:rsidRDefault="005F2E28" w:rsidP="005F2E2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5F2E28" w:rsidRDefault="005F2E28" w:rsidP="005F2E2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:rsidR="005F2E28" w:rsidRDefault="005F2E28" w:rsidP="005F2E28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F2E28" w:rsidRDefault="005F2E28" w:rsidP="005F2E28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5F2E28">
        <w:trPr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F2E28" w:rsidRPr="00320122" w:rsidRDefault="005F2E28" w:rsidP="0099653C">
            <w:pPr>
              <w:pStyle w:val="nadpisve2sl"/>
              <w:rPr>
                <w:b w:val="0"/>
              </w:rPr>
            </w:pPr>
            <w:r w:rsidRPr="0099653C">
              <w:t>Fonetika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čte latinský text se správnou výslovností a přízvukem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pravopisně správně napíše slyšený text</w:t>
            </w:r>
          </w:p>
          <w:p w:rsidR="005F2E28" w:rsidRDefault="005F2E28" w:rsidP="005F2E28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</w:p>
          <w:p w:rsidR="005F2E28" w:rsidRPr="00320122" w:rsidRDefault="005F2E28" w:rsidP="0099653C">
            <w:pPr>
              <w:pStyle w:val="nadpisve2sl"/>
              <w:rPr>
                <w:b w:val="0"/>
              </w:rPr>
            </w:pPr>
            <w:r w:rsidRPr="0099653C">
              <w:t>Morfologie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přiřadí slova k jednotlivým slovním druhům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zařadí podstatná a přídavná jména do deklinačního systému a správně je skloňuje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 xml:space="preserve">zařadí slovesa do konjugačního systému a časuje je ve všech časech a způsobech, včetně slovesa </w:t>
            </w:r>
            <w:proofErr w:type="spellStart"/>
            <w:proofErr w:type="gramStart"/>
            <w:r w:rsidRPr="00A75722">
              <w:rPr>
                <w:rFonts w:eastAsia="Times New Roman" w:cs="Times New Roman"/>
                <w:szCs w:val="20"/>
              </w:rPr>
              <w:t>esse</w:t>
            </w:r>
            <w:proofErr w:type="spellEnd"/>
            <w:r w:rsidRPr="00A75722">
              <w:rPr>
                <w:rFonts w:eastAsia="Times New Roman" w:cs="Times New Roman"/>
                <w:szCs w:val="20"/>
              </w:rPr>
              <w:t xml:space="preserve">  a</w:t>
            </w:r>
            <w:proofErr w:type="gramEnd"/>
            <w:r w:rsidRPr="00A75722">
              <w:rPr>
                <w:rFonts w:eastAsia="Times New Roman" w:cs="Times New Roman"/>
                <w:szCs w:val="20"/>
              </w:rPr>
              <w:t xml:space="preserve"> jeho složenin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tvoří latinská příslovce od adjektiv 3. deklinace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správně používá předložky ve spojení s pády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ovládá základní a řadové číslovky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používá správné časy a způsoby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správně používá souřadicí a podřadicí spojky</w:t>
            </w:r>
          </w:p>
          <w:p w:rsidR="005F2E28" w:rsidRDefault="005F2E28" w:rsidP="005F2E28">
            <w:pPr>
              <w:pStyle w:val="odrka"/>
              <w:numPr>
                <w:ilvl w:val="0"/>
                <w:numId w:val="0"/>
              </w:numPr>
              <w:snapToGrid w:val="0"/>
              <w:ind w:left="227"/>
              <w:rPr>
                <w:szCs w:val="20"/>
              </w:rPr>
            </w:pPr>
          </w:p>
          <w:p w:rsidR="005F2E28" w:rsidRPr="00320122" w:rsidRDefault="005F2E28" w:rsidP="0099653C">
            <w:pPr>
              <w:pStyle w:val="nadpisve2sl"/>
              <w:rPr>
                <w:b w:val="0"/>
              </w:rPr>
            </w:pPr>
            <w:r w:rsidRPr="0099653C">
              <w:t>Syntax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překládá jednoduché věty a souvětí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stylisticky správně přeloží jednoduchý delší souvislý text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používá správný slovosled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určuje jednoduché latinské syntaktické struktury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lastRenderedPageBreak/>
              <w:t>tvoří souvětí s vedlejšími větami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vyjádří současnost a předčasnost děje</w:t>
            </w:r>
          </w:p>
          <w:p w:rsidR="005F2E28" w:rsidRDefault="005F2E28" w:rsidP="005F2E2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rPr>
                <w:szCs w:val="20"/>
              </w:rPr>
            </w:pPr>
          </w:p>
          <w:p w:rsidR="005F2E28" w:rsidRPr="0099653C" w:rsidRDefault="005F2E28" w:rsidP="0099653C">
            <w:pPr>
              <w:pStyle w:val="nadpisve2sl"/>
            </w:pPr>
            <w:r w:rsidRPr="0099653C">
              <w:t>Slovní zásoba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aktivně používá vymezenou slovní zásobu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další slovní zásobu ovládá pasivně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odhaduje význam latinských slov tvořených pomocí prefixů a sufixů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používá odbornou jazykovou terminologii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orientuje se v latinsko-českém slovníku a vyhledá v něm potřebné informace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hledá jazykové souvislosti a vliv latiny na slovní zásobu moderních jazyků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vysvětlí význam latinských slov a spojení používaných v češtině a živých cizích jazycích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uvádí latinské citáty v originále</w:t>
            </w:r>
          </w:p>
          <w:p w:rsidR="005F2E28" w:rsidRDefault="005F2E28" w:rsidP="005F2E2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rPr>
                <w:b/>
                <w:szCs w:val="20"/>
              </w:rPr>
            </w:pPr>
          </w:p>
          <w:p w:rsidR="005F2E28" w:rsidRPr="0099653C" w:rsidRDefault="005F2E28" w:rsidP="0099653C">
            <w:pPr>
              <w:pStyle w:val="nadpisve2sl"/>
            </w:pPr>
            <w:r w:rsidRPr="0099653C">
              <w:t>Reálie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orientuje se v antickém umění, literatuře a filozofii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podá informace o životě antické společnosti</w:t>
            </w:r>
          </w:p>
          <w:p w:rsidR="005F2E28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uvádí důležité mezníky vývoje Římské říše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2E28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784FB5">
              <w:rPr>
                <w:rFonts w:eastAsia="Times New Roman" w:cs="Times New Roman"/>
                <w:szCs w:val="20"/>
              </w:rPr>
              <w:lastRenderedPageBreak/>
              <w:t>výslovnost</w:t>
            </w:r>
          </w:p>
          <w:p w:rsidR="005F2E28" w:rsidRPr="00784FB5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784FB5">
              <w:rPr>
                <w:rFonts w:eastAsia="Times New Roman" w:cs="Times New Roman"/>
                <w:szCs w:val="20"/>
              </w:rPr>
              <w:t>přízvuk</w:t>
            </w:r>
          </w:p>
          <w:p w:rsidR="005F2E28" w:rsidRDefault="005F2E28" w:rsidP="00A75722">
            <w:pPr>
              <w:pStyle w:val="odrka"/>
              <w:numPr>
                <w:ilvl w:val="0"/>
                <w:numId w:val="0"/>
              </w:numPr>
              <w:spacing w:before="40" w:line="240" w:lineRule="auto"/>
              <w:ind w:left="113"/>
              <w:rPr>
                <w:rFonts w:eastAsia="Times New Roman" w:cs="Times New Roman"/>
                <w:szCs w:val="20"/>
              </w:rPr>
            </w:pPr>
          </w:p>
          <w:p w:rsidR="005F2E28" w:rsidRDefault="005F2E28" w:rsidP="005F2E28">
            <w:pPr>
              <w:pStyle w:val="odrka2"/>
              <w:widowControl/>
              <w:snapToGrid w:val="0"/>
              <w:spacing w:line="240" w:lineRule="auto"/>
              <w:rPr>
                <w:rFonts w:eastAsia="Times New Roman" w:cs="Times New Roman"/>
                <w:szCs w:val="20"/>
              </w:rPr>
            </w:pPr>
          </w:p>
          <w:p w:rsidR="005F2E28" w:rsidRDefault="005F2E28" w:rsidP="005F2E28">
            <w:pPr>
              <w:pStyle w:val="odrka2"/>
              <w:widowControl/>
              <w:snapToGrid w:val="0"/>
              <w:spacing w:line="240" w:lineRule="auto"/>
              <w:rPr>
                <w:rFonts w:eastAsia="Times New Roman" w:cs="Times New Roman"/>
                <w:szCs w:val="20"/>
              </w:rPr>
            </w:pPr>
          </w:p>
          <w:p w:rsidR="005F2E28" w:rsidRPr="00784FB5" w:rsidRDefault="005F2E28" w:rsidP="005F2E28">
            <w:pPr>
              <w:pStyle w:val="odrka2"/>
              <w:widowControl/>
              <w:snapToGrid w:val="0"/>
              <w:spacing w:line="240" w:lineRule="auto"/>
              <w:rPr>
                <w:rFonts w:eastAsia="Times New Roman" w:cs="Times New Roman"/>
                <w:szCs w:val="20"/>
              </w:rPr>
            </w:pP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zájmena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všechny základní a řadové číslovky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římské číslice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časování sloves všech konjugací v aktivu a pasivu indikativu perfekta a plusquamperfekta, konjunktivu prézentu, imperfekta a plusquamperfekta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slovesa mezi 3. a 4. konjugací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adverbia od adjektiv 3. deklinace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další latinské předložky a předpony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souřadicí a podřadicí spojky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vedlejší věty časové, podmínkové, vztažné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nepřímé otázky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 xml:space="preserve">cum </w:t>
            </w:r>
            <w:proofErr w:type="spellStart"/>
            <w:r w:rsidRPr="00A75722">
              <w:rPr>
                <w:rFonts w:eastAsia="Times New Roman" w:cs="Times New Roman"/>
                <w:szCs w:val="20"/>
              </w:rPr>
              <w:t>historicum</w:t>
            </w:r>
            <w:proofErr w:type="spellEnd"/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participia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akuzativ s infinitivem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nominativ s infinitivem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ablativ absolutní</w:t>
            </w:r>
          </w:p>
          <w:p w:rsidR="005F2E28" w:rsidRDefault="005F2E28" w:rsidP="005F2E28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latinské citáty a živá latinská slova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internacionalismy, obohacování slovní zásoby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vývoj latinského jazyka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odborné termíny</w:t>
            </w: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dějiny Říma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antická literatura, časoměrný verš</w:t>
            </w:r>
          </w:p>
          <w:p w:rsidR="005F2E28" w:rsidRPr="00A75722" w:rsidRDefault="005F2E28" w:rsidP="00A75722">
            <w:pPr>
              <w:pStyle w:val="odrka"/>
              <w:numPr>
                <w:ilvl w:val="0"/>
                <w:numId w:val="3"/>
              </w:numPr>
              <w:tabs>
                <w:tab w:val="clear" w:pos="720"/>
                <w:tab w:val="num" w:pos="340"/>
              </w:tabs>
              <w:spacing w:before="40" w:line="240" w:lineRule="auto"/>
              <w:ind w:left="340" w:hanging="227"/>
              <w:rPr>
                <w:rFonts w:eastAsia="Times New Roman" w:cs="Times New Roman"/>
                <w:szCs w:val="20"/>
              </w:rPr>
            </w:pPr>
            <w:r w:rsidRPr="00A75722">
              <w:rPr>
                <w:rFonts w:eastAsia="Times New Roman" w:cs="Times New Roman"/>
                <w:szCs w:val="20"/>
              </w:rPr>
              <w:t>římské umění</w:t>
            </w: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jc w:val="left"/>
              <w:rPr>
                <w:b w:val="0"/>
                <w:i w:val="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ind w:left="360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F2E28" w:rsidRDefault="005F2E28" w:rsidP="005F2E28">
            <w:pPr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Poznávání a rozvoj vlastní osobnosti 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(Vztah k lidem a okolí, mezilidská komunikace, spolupráce, zásady asertivní komunikace a respekt k odlišnému názoru druhého, etika lidského chování.)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 důsledky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 Evropě</w:t>
            </w:r>
          </w:p>
          <w:p w:rsidR="005F2E28" w:rsidRDefault="005F2E28" w:rsidP="005F2E28">
            <w:pPr>
              <w:pStyle w:val="Nadpis1"/>
              <w:numPr>
                <w:ilvl w:val="0"/>
                <w:numId w:val="7"/>
              </w:numPr>
              <w:tabs>
                <w:tab w:val="left" w:pos="0"/>
              </w:tabs>
              <w:rPr>
                <w:szCs w:val="20"/>
              </w:rPr>
            </w:pPr>
            <w:r>
              <w:rPr>
                <w:szCs w:val="20"/>
              </w:rPr>
              <w:t>Vzdělávání v Evropě a ve světě</w:t>
            </w:r>
          </w:p>
          <w:p w:rsidR="005F2E28" w:rsidRDefault="005F2E28" w:rsidP="005F2E28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(Globalizační a rozvojové procesy, výchova k občanství a k politické kultuře.)</w:t>
            </w:r>
          </w:p>
          <w:p w:rsidR="005F2E28" w:rsidRDefault="005F2E28" w:rsidP="005F2E28">
            <w:pPr>
              <w:autoSpaceDE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:rsidR="005F2E28" w:rsidRDefault="005F2E28" w:rsidP="005F2E28">
            <w:pPr>
              <w:pStyle w:val="odrka2"/>
              <w:widowControl/>
              <w:suppressAutoHyphens w:val="0"/>
              <w:autoSpaceDE w:val="0"/>
              <w:spacing w:line="240" w:lineRule="auto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 (Rozvíjení tolerance a úcty k odlišné </w:t>
            </w:r>
            <w:proofErr w:type="gramStart"/>
            <w:r>
              <w:rPr>
                <w:rFonts w:eastAsia="Times New Roman" w:cs="Times New Roman"/>
                <w:szCs w:val="20"/>
              </w:rPr>
              <w:t>kultuře,  národu</w:t>
            </w:r>
            <w:proofErr w:type="gramEnd"/>
            <w:r>
              <w:rPr>
                <w:rFonts w:eastAsia="Times New Roman" w:cs="Times New Roman"/>
                <w:szCs w:val="20"/>
              </w:rPr>
              <w:t>, jazyku. Pravidla slušné komunikace.)</w:t>
            </w: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5F2E28" w:rsidRDefault="005F2E28" w:rsidP="005F2E28">
            <w:pPr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Média a mediální produkce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lastRenderedPageBreak/>
              <w:t>Mediální produkty a jejich význam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 w:val="0"/>
                <w:bCs/>
                <w:i w:val="0"/>
                <w:iCs/>
                <w:sz w:val="20"/>
                <w:szCs w:val="20"/>
              </w:rPr>
              <w:t>(Využívání moderních médií k získávání informací, vliv médií na společnost, práce s mediálním sdělením.)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:rsidR="005F2E28" w:rsidRPr="000E122D" w:rsidRDefault="005F2E28" w:rsidP="005F2E28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A75722">
              <w:rPr>
                <w:rFonts w:ascii="Book Antiqua" w:hAnsi="Book Antiqua" w:cs="Arial"/>
                <w:b/>
                <w:color w:val="000000"/>
                <w:sz w:val="20"/>
                <w:szCs w:val="20"/>
              </w:rPr>
              <w:t>ČJ</w:t>
            </w:r>
            <w:r w:rsidRPr="000E122D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– grafická a zvuková stránka jazyka, mluvnická terminologie, slovní zásoba, tvarosloví, skladba,</w:t>
            </w:r>
            <w:r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 frazeologie, rétorika, indoevropské jazyky, </w:t>
            </w:r>
            <w:r w:rsidRPr="000E122D">
              <w:rPr>
                <w:rFonts w:ascii="Book Antiqua" w:hAnsi="Book Antiqua" w:cs="Arial"/>
                <w:color w:val="000000"/>
                <w:sz w:val="20"/>
                <w:szCs w:val="20"/>
              </w:rPr>
              <w:t>antická literatura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 w:rsidRPr="00A75722">
              <w:rPr>
                <w:b/>
                <w:szCs w:val="20"/>
              </w:rPr>
              <w:t>IN</w:t>
            </w:r>
            <w:r>
              <w:rPr>
                <w:szCs w:val="20"/>
              </w:rPr>
              <w:t xml:space="preserve"> – internet, vyhledávání informací</w:t>
            </w:r>
          </w:p>
          <w:p w:rsidR="005F2E28" w:rsidRDefault="00A75722" w:rsidP="005F2E28">
            <w:pPr>
              <w:pStyle w:val="odrka2"/>
              <w:widowControl/>
              <w:suppressAutoHyphens w:val="0"/>
              <w:autoSpaceDE w:val="0"/>
              <w:spacing w:line="240" w:lineRule="auto"/>
              <w:rPr>
                <w:rFonts w:eastAsia="Times New Roman"/>
                <w:szCs w:val="20"/>
              </w:rPr>
            </w:pPr>
            <w:r w:rsidRPr="00A75722">
              <w:rPr>
                <w:rFonts w:eastAsia="Times New Roman"/>
                <w:b/>
                <w:szCs w:val="20"/>
              </w:rPr>
              <w:t>DE</w:t>
            </w:r>
            <w:r w:rsidR="005F2E28">
              <w:rPr>
                <w:rFonts w:eastAsia="Times New Roman"/>
                <w:szCs w:val="20"/>
              </w:rPr>
              <w:t xml:space="preserve"> – antický Řím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  <w:r w:rsidRPr="00A75722">
              <w:rPr>
                <w:rFonts w:cs="Arial"/>
                <w:i w:val="0"/>
                <w:color w:val="000000"/>
                <w:sz w:val="20"/>
                <w:szCs w:val="20"/>
              </w:rPr>
              <w:t>SV</w:t>
            </w:r>
            <w:r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  <w:t xml:space="preserve"> – římské právo, antická filozofie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 w:rsidRPr="00A75722">
              <w:rPr>
                <w:b/>
                <w:szCs w:val="20"/>
              </w:rPr>
              <w:t>BI</w:t>
            </w:r>
            <w:r>
              <w:rPr>
                <w:szCs w:val="20"/>
              </w:rPr>
              <w:t xml:space="preserve"> – lidské tělo, fauna a flora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 w:rsidRPr="00A75722">
              <w:rPr>
                <w:b/>
                <w:szCs w:val="20"/>
              </w:rPr>
              <w:t>HV</w:t>
            </w:r>
            <w:r>
              <w:rPr>
                <w:szCs w:val="20"/>
              </w:rPr>
              <w:t xml:space="preserve"> – latina v hudebních dílech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 w:rsidRPr="00A75722">
              <w:rPr>
                <w:b/>
                <w:szCs w:val="20"/>
              </w:rPr>
              <w:t>VV</w:t>
            </w:r>
            <w:r>
              <w:rPr>
                <w:szCs w:val="20"/>
              </w:rPr>
              <w:t xml:space="preserve"> – antické umění</w:t>
            </w:r>
          </w:p>
          <w:p w:rsidR="005F2E28" w:rsidRDefault="005F2E28" w:rsidP="005F2E28">
            <w:pPr>
              <w:pStyle w:val="Zkladntext21"/>
              <w:rPr>
                <w:szCs w:val="20"/>
              </w:rPr>
            </w:pPr>
            <w:r w:rsidRPr="00A75722">
              <w:rPr>
                <w:b/>
                <w:szCs w:val="20"/>
              </w:rPr>
              <w:t>MA</w:t>
            </w:r>
            <w:r>
              <w:rPr>
                <w:szCs w:val="20"/>
              </w:rPr>
              <w:t xml:space="preserve"> – římské číslice</w:t>
            </w:r>
          </w:p>
          <w:p w:rsidR="005F2E28" w:rsidRDefault="005F2E28" w:rsidP="005F2E28">
            <w:pPr>
              <w:pStyle w:val="tabulkaoddl"/>
              <w:snapToGrid w:val="0"/>
              <w:jc w:val="left"/>
              <w:rPr>
                <w:rFonts w:cs="Arial"/>
                <w:b w:val="0"/>
                <w:i w:val="0"/>
                <w:color w:val="000000"/>
                <w:sz w:val="20"/>
                <w:szCs w:val="20"/>
              </w:rPr>
            </w:pPr>
          </w:p>
          <w:p w:rsidR="005F2E28" w:rsidRDefault="005F2E28" w:rsidP="005F2E28">
            <w:pPr>
              <w:pStyle w:val="tabulkanadpis"/>
              <w:snapToGrid w:val="0"/>
              <w:rPr>
                <w:sz w:val="20"/>
                <w:szCs w:val="20"/>
              </w:rPr>
            </w:pPr>
          </w:p>
        </w:tc>
      </w:tr>
    </w:tbl>
    <w:p w:rsidR="005F2E28" w:rsidRDefault="005F2E28" w:rsidP="005F2E28"/>
    <w:p w:rsidR="00F80BB5" w:rsidRDefault="00F80BB5"/>
    <w:sectPr w:rsidR="00F80BB5" w:rsidSect="00A75722">
      <w:headerReference w:type="default" r:id="rId9"/>
      <w:footerReference w:type="default" r:id="rId10"/>
      <w:footnotePr>
        <w:pos w:val="beneathText"/>
      </w:footnotePr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3F79" w:rsidRDefault="006A3F79">
      <w:r>
        <w:separator/>
      </w:r>
    </w:p>
  </w:endnote>
  <w:endnote w:type="continuationSeparator" w:id="0">
    <w:p w:rsidR="006A3F79" w:rsidRDefault="006A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1C71" w:rsidRDefault="00321C71">
    <w:pPr>
      <w:pStyle w:val="Zpat"/>
    </w:pP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A4B54">
      <w:rPr>
        <w:rStyle w:val="slostrnky"/>
        <w:noProof/>
      </w:rPr>
      <w:t>101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1C71" w:rsidRDefault="00321C7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9A4B54">
      <w:rPr>
        <w:noProof/>
      </w:rPr>
      <w:t>103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3F79" w:rsidRDefault="006A3F79">
      <w:r>
        <w:separator/>
      </w:r>
    </w:p>
  </w:footnote>
  <w:footnote w:type="continuationSeparator" w:id="0">
    <w:p w:rsidR="006A3F79" w:rsidRDefault="006A3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1C71" w:rsidRDefault="005E3C90" w:rsidP="005445CF">
    <w:pPr>
      <w:pStyle w:val="zahlavi"/>
      <w:tabs>
        <w:tab w:val="right" w:pos="9072"/>
        <w:tab w:val="right" w:pos="13892"/>
      </w:tabs>
    </w:pPr>
    <w:r>
      <w:t>ŠVP GV – čtyřleté a osmileté gymnázium</w:t>
    </w:r>
    <w:r>
      <w:tab/>
      <w:t xml:space="preserve">Příloha 2 – Učební osnovy </w:t>
    </w:r>
    <w:proofErr w:type="gramStart"/>
    <w:r w:rsidR="005445CF">
      <w:t>Latina</w:t>
    </w:r>
    <w:proofErr w:type="gram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1C71" w:rsidRDefault="005E3C90" w:rsidP="00E777A9">
    <w:pPr>
      <w:pStyle w:val="zahlavi"/>
      <w:tabs>
        <w:tab w:val="right" w:pos="15026"/>
      </w:tabs>
    </w:pPr>
    <w:r>
      <w:t>ŠVP GV – čtyřleté a osmileté gymnázium</w:t>
    </w:r>
    <w:r>
      <w:tab/>
      <w:t xml:space="preserve">Příloha 2 – Učební osnovy </w:t>
    </w:r>
    <w:proofErr w:type="gramStart"/>
    <w:r w:rsidR="00321C71">
      <w:t>Latina</w:t>
    </w:r>
    <w:proofErr w:type="gramEnd"/>
    <w:r w:rsidR="00321C71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722C7D0C"/>
    <w:name w:val="WW8Num1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</w:rPr>
    </w:lvl>
  </w:abstractNum>
  <w:abstractNum w:abstractNumId="2" w15:restartNumberingAfterBreak="0">
    <w:nsid w:val="0000001F"/>
    <w:multiLevelType w:val="multilevel"/>
    <w:tmpl w:val="C71AA2A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" w15:restartNumberingAfterBreak="0">
    <w:nsid w:val="10B64B02"/>
    <w:multiLevelType w:val="hybridMultilevel"/>
    <w:tmpl w:val="D884E08E"/>
    <w:lvl w:ilvl="0" w:tplc="3A44B34A">
      <w:start w:val="1"/>
      <w:numFmt w:val="bullet"/>
      <w:pStyle w:val="odrka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541C1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D0F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582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B0AB4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ACE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5054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E9A25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5EF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4211A"/>
    <w:multiLevelType w:val="hybridMultilevel"/>
    <w:tmpl w:val="16B69E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07E38"/>
    <w:multiLevelType w:val="hybridMultilevel"/>
    <w:tmpl w:val="DEC4B362"/>
    <w:lvl w:ilvl="0" w:tplc="5B08D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483A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34D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C9E87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6C58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52CA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ECF9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A843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928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324CA"/>
    <w:multiLevelType w:val="hybridMultilevel"/>
    <w:tmpl w:val="217867B6"/>
    <w:lvl w:ilvl="0" w:tplc="204E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160D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9CE0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1432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F0ED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F4DC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7425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6C6C8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FC2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555A31"/>
    <w:multiLevelType w:val="hybridMultilevel"/>
    <w:tmpl w:val="C4520EE4"/>
    <w:lvl w:ilvl="0" w:tplc="7C3EC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46A6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CA96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0887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3F857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92E4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5BEE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4EEA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B1A5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0F1A27"/>
    <w:multiLevelType w:val="hybridMultilevel"/>
    <w:tmpl w:val="DFD6BDB6"/>
    <w:lvl w:ilvl="0" w:tplc="6A76C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F0BC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DC04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5238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420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0686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13654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9E4B4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FB6B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A62241"/>
    <w:multiLevelType w:val="hybridMultilevel"/>
    <w:tmpl w:val="B5B8F6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05B48"/>
    <w:multiLevelType w:val="hybridMultilevel"/>
    <w:tmpl w:val="3CEA4192"/>
    <w:lvl w:ilvl="0" w:tplc="10609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429A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36E5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067D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92C2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82CC9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2AA80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ABAD2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3C1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9"/>
  </w:num>
  <w:num w:numId="10">
    <w:abstractNumId w:val="4"/>
  </w:num>
  <w:num w:numId="11">
    <w:abstractNumId w:val="2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8B"/>
    <w:rsid w:val="000248DC"/>
    <w:rsid w:val="001426F9"/>
    <w:rsid w:val="001D1902"/>
    <w:rsid w:val="00271F98"/>
    <w:rsid w:val="002E3624"/>
    <w:rsid w:val="00321C71"/>
    <w:rsid w:val="00332E54"/>
    <w:rsid w:val="0051268B"/>
    <w:rsid w:val="005256EC"/>
    <w:rsid w:val="005445CF"/>
    <w:rsid w:val="005E3C90"/>
    <w:rsid w:val="005F2E28"/>
    <w:rsid w:val="00602AAB"/>
    <w:rsid w:val="006502AB"/>
    <w:rsid w:val="006912FF"/>
    <w:rsid w:val="006A3F79"/>
    <w:rsid w:val="007422BE"/>
    <w:rsid w:val="00742862"/>
    <w:rsid w:val="00777FAD"/>
    <w:rsid w:val="00867D14"/>
    <w:rsid w:val="009530C9"/>
    <w:rsid w:val="0099653C"/>
    <w:rsid w:val="009A4B54"/>
    <w:rsid w:val="00A10966"/>
    <w:rsid w:val="00A75722"/>
    <w:rsid w:val="00BC3EBD"/>
    <w:rsid w:val="00BF6C0D"/>
    <w:rsid w:val="00DA74FE"/>
    <w:rsid w:val="00E70622"/>
    <w:rsid w:val="00E777A9"/>
    <w:rsid w:val="00EF539C"/>
    <w:rsid w:val="00F80BB5"/>
    <w:rsid w:val="00F9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34915-A3EA-4C52-9C27-AB0B3824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5F2E28"/>
    <w:pPr>
      <w:keepNext/>
      <w:numPr>
        <w:numId w:val="1"/>
      </w:numPr>
      <w:suppressAutoHyphens/>
      <w:autoSpaceDE w:val="0"/>
      <w:outlineLvl w:val="0"/>
    </w:pPr>
    <w:rPr>
      <w:rFonts w:ascii="Book Antiqua" w:hAnsi="Book Antiqua" w:cs="Arial"/>
      <w:b/>
      <w:bCs/>
      <w:color w:val="000000"/>
      <w:sz w:val="20"/>
      <w:szCs w:val="18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web">
    <w:name w:val="Normal (Web)"/>
    <w:basedOn w:val="Normln"/>
    <w:pPr>
      <w:spacing w:before="100" w:beforeAutospacing="1" w:after="119"/>
    </w:pPr>
  </w:style>
  <w:style w:type="paragraph" w:customStyle="1" w:styleId="a">
    <w:basedOn w:val="Normln"/>
    <w:next w:val="Normlnweb"/>
    <w:rsid w:val="007422BE"/>
    <w:pPr>
      <w:spacing w:before="100" w:beforeAutospacing="1" w:after="119"/>
    </w:pPr>
  </w:style>
  <w:style w:type="paragraph" w:styleId="Zpat">
    <w:name w:val="footer"/>
    <w:basedOn w:val="Normln"/>
    <w:rsid w:val="005F2E28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Lucida Sans Unicode" w:cs="Tahoma"/>
      <w:lang w:bidi="cs-CZ"/>
    </w:rPr>
  </w:style>
  <w:style w:type="paragraph" w:customStyle="1" w:styleId="kapitolka">
    <w:name w:val="kapitolka"/>
    <w:basedOn w:val="Normln"/>
    <w:rsid w:val="005F2E28"/>
    <w:pPr>
      <w:widowControl w:val="0"/>
      <w:suppressAutoHyphens/>
      <w:spacing w:before="125" w:after="125" w:line="288" w:lineRule="auto"/>
    </w:pPr>
    <w:rPr>
      <w:rFonts w:ascii="Tahoma" w:eastAsia="Lucida Sans Unicode" w:hAnsi="Tahoma" w:cs="Tahoma"/>
      <w:i/>
      <w:sz w:val="32"/>
      <w:lang w:bidi="cs-CZ"/>
    </w:rPr>
  </w:style>
  <w:style w:type="paragraph" w:customStyle="1" w:styleId="tabulkanadpis">
    <w:name w:val="tabulkanadpis"/>
    <w:basedOn w:val="Normln"/>
    <w:rsid w:val="005F2E28"/>
    <w:pPr>
      <w:widowControl w:val="0"/>
      <w:suppressAutoHyphens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bidi="cs-CZ"/>
    </w:rPr>
  </w:style>
  <w:style w:type="paragraph" w:customStyle="1" w:styleId="odrka">
    <w:name w:val="odrážka"/>
    <w:basedOn w:val="Normln"/>
    <w:rsid w:val="005F2E28"/>
    <w:pPr>
      <w:widowControl w:val="0"/>
      <w:numPr>
        <w:numId w:val="11"/>
      </w:numPr>
      <w:suppressAutoHyphens/>
      <w:spacing w:line="288" w:lineRule="auto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tabulkaoddl">
    <w:name w:val="tabulkaoddíl"/>
    <w:basedOn w:val="tabulkanadpis"/>
    <w:rsid w:val="005F2E28"/>
    <w:pPr>
      <w:spacing w:before="57"/>
    </w:pPr>
  </w:style>
  <w:style w:type="paragraph" w:customStyle="1" w:styleId="odrka2">
    <w:name w:val="odrážka2"/>
    <w:basedOn w:val="odrka"/>
    <w:rsid w:val="005F2E28"/>
    <w:pPr>
      <w:numPr>
        <w:numId w:val="0"/>
      </w:numPr>
    </w:pPr>
  </w:style>
  <w:style w:type="paragraph" w:customStyle="1" w:styleId="kapitolkaosnovy">
    <w:name w:val="kapitolkaosnovy"/>
    <w:basedOn w:val="kapitolka"/>
    <w:rsid w:val="005F2E28"/>
    <w:pPr>
      <w:keepNext/>
      <w:widowControl/>
      <w:suppressAutoHyphens w:val="0"/>
    </w:pPr>
  </w:style>
  <w:style w:type="paragraph" w:customStyle="1" w:styleId="zahlavi">
    <w:name w:val="zahlavi"/>
    <w:basedOn w:val="Normln"/>
    <w:rsid w:val="005F2E28"/>
    <w:pPr>
      <w:widowControl w:val="0"/>
      <w:suppressAutoHyphens/>
      <w:spacing w:line="288" w:lineRule="auto"/>
    </w:pPr>
    <w:rPr>
      <w:rFonts w:ascii="Tahoma" w:eastAsia="Lucida Sans Unicode" w:hAnsi="Tahoma" w:cs="Tahoma"/>
      <w:sz w:val="20"/>
      <w:lang w:bidi="cs-CZ"/>
    </w:rPr>
  </w:style>
  <w:style w:type="paragraph" w:customStyle="1" w:styleId="Zkladntext21">
    <w:name w:val="Základní text 21"/>
    <w:basedOn w:val="Normln"/>
    <w:rsid w:val="005F2E28"/>
    <w:pPr>
      <w:suppressAutoHyphens/>
      <w:autoSpaceDE w:val="0"/>
    </w:pPr>
    <w:rPr>
      <w:rFonts w:ascii="Book Antiqua" w:hAnsi="Book Antiqua" w:cs="Arial"/>
      <w:color w:val="000000"/>
      <w:sz w:val="20"/>
      <w:szCs w:val="18"/>
      <w:lang w:eastAsia="ar-SA"/>
    </w:rPr>
  </w:style>
  <w:style w:type="paragraph" w:customStyle="1" w:styleId="kapitola">
    <w:name w:val="kapitola"/>
    <w:basedOn w:val="Normln"/>
    <w:next w:val="Normln"/>
    <w:rsid w:val="00271F98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lang w:bidi="cs-CZ"/>
    </w:rPr>
  </w:style>
  <w:style w:type="paragraph" w:customStyle="1" w:styleId="podkapitolka">
    <w:name w:val="podkapitolka"/>
    <w:basedOn w:val="kapitolka"/>
    <w:rsid w:val="00271F98"/>
    <w:rPr>
      <w:sz w:val="24"/>
    </w:rPr>
  </w:style>
  <w:style w:type="paragraph" w:customStyle="1" w:styleId="odrkatext">
    <w:name w:val="odrážkatext"/>
    <w:basedOn w:val="Normln"/>
    <w:rsid w:val="00271F98"/>
    <w:pPr>
      <w:widowControl w:val="0"/>
      <w:numPr>
        <w:numId w:val="3"/>
      </w:numPr>
      <w:suppressAutoHyphens/>
      <w:spacing w:line="288" w:lineRule="auto"/>
      <w:jc w:val="both"/>
    </w:pPr>
    <w:rPr>
      <w:rFonts w:ascii="Book Antiqua" w:eastAsia="Lucida Sans Unicode" w:hAnsi="Book Antiqua" w:cs="Tahoma"/>
      <w:lang w:bidi="cs-CZ"/>
    </w:rPr>
  </w:style>
  <w:style w:type="paragraph" w:customStyle="1" w:styleId="textik">
    <w:name w:val="textik"/>
    <w:basedOn w:val="Normln"/>
    <w:rsid w:val="00271F98"/>
    <w:pPr>
      <w:widowControl w:val="0"/>
      <w:suppressAutoHyphens/>
      <w:spacing w:line="288" w:lineRule="auto"/>
      <w:ind w:firstLine="454"/>
      <w:jc w:val="both"/>
    </w:pPr>
    <w:rPr>
      <w:rFonts w:ascii="Book Antiqua" w:eastAsia="Lucida Sans Unicode" w:hAnsi="Book Antiqua" w:cs="Tahoma"/>
      <w:lang w:bidi="cs-CZ"/>
    </w:rPr>
  </w:style>
  <w:style w:type="paragraph" w:customStyle="1" w:styleId="kompetence">
    <w:name w:val="kompetence"/>
    <w:basedOn w:val="textik"/>
    <w:next w:val="textik"/>
    <w:rsid w:val="00271F98"/>
    <w:pPr>
      <w:keepNext/>
      <w:suppressAutoHyphens w:val="0"/>
      <w:spacing w:before="240"/>
      <w:ind w:firstLine="448"/>
      <w:jc w:val="left"/>
    </w:pPr>
    <w:rPr>
      <w:b/>
    </w:rPr>
  </w:style>
  <w:style w:type="paragraph" w:styleId="Zhlav">
    <w:name w:val="header"/>
    <w:basedOn w:val="Normln"/>
    <w:rsid w:val="00A7572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75722"/>
  </w:style>
  <w:style w:type="paragraph" w:customStyle="1" w:styleId="nadpisve2sl">
    <w:name w:val="nadpis ve 2 sl"/>
    <w:basedOn w:val="Normln"/>
    <w:rsid w:val="00321C71"/>
    <w:pPr>
      <w:widowControl w:val="0"/>
      <w:tabs>
        <w:tab w:val="left" w:pos="587"/>
      </w:tabs>
      <w:suppressAutoHyphens/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1434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Další cizí jazyk</vt:lpstr>
    </vt:vector>
  </TitlesOfParts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Další cizí jazyk</dc:title>
  <dc:subject/>
  <dc:creator>Skalova</dc:creator>
  <cp:keywords/>
  <dc:description/>
  <cp:lastModifiedBy>Romana Orságová</cp:lastModifiedBy>
  <cp:revision>2</cp:revision>
  <dcterms:created xsi:type="dcterms:W3CDTF">2020-06-18T19:00:00Z</dcterms:created>
  <dcterms:modified xsi:type="dcterms:W3CDTF">2020-06-18T19:00:00Z</dcterms:modified>
</cp:coreProperties>
</file>