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BB1" w:rsidRDefault="002A4BB1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2A4BB1">
        <w:rPr>
          <w:rFonts w:ascii="Tahoma" w:eastAsia="Lucida Sans Unicode" w:hAnsi="Tahoma" w:cs="Tahoma"/>
          <w:sz w:val="40"/>
          <w:szCs w:val="24"/>
          <w:lang w:bidi="cs-CZ"/>
        </w:rPr>
        <w:t>Klinická propedeutika</w:t>
      </w:r>
    </w:p>
    <w:p w:rsidR="002A4BB1" w:rsidRDefault="002A4BB1" w:rsidP="00E10E03">
      <w:pPr>
        <w:tabs>
          <w:tab w:val="left" w:pos="3402"/>
        </w:tabs>
        <w:spacing w:before="0"/>
      </w:pP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2A4BB1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6A489D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2A4BB1" w:rsidRDefault="002A4BB1" w:rsidP="002A4BB1">
      <w:r>
        <w:t xml:space="preserve">Cílem vyučovacího předmětu je získání znalostí z klinické propedeutiky a klinických oborů, které poskytují nezbytný odborný základ potřebný pro poskytování ošetřovatelské péče a pro práci kvalifikovaného zdravotnického pracovníka.  Žák získá ucelený přehled o základní lékařské terminologii, diagnostickém a terapeutickém procesu. </w:t>
      </w:r>
    </w:p>
    <w:p w:rsidR="002A4BB1" w:rsidRDefault="002A4BB1" w:rsidP="002A4BB1">
      <w:pPr>
        <w:pStyle w:val="svpnadpisvtabulce"/>
      </w:pPr>
      <w:r>
        <w:t>Charakteristika učiva</w:t>
      </w:r>
    </w:p>
    <w:p w:rsidR="002A4BB1" w:rsidRDefault="002A4BB1" w:rsidP="002A4BB1">
      <w:r>
        <w:t xml:space="preserve">Předmět </w:t>
      </w:r>
      <w:r>
        <w:rPr>
          <w:i/>
        </w:rPr>
        <w:t>klinická</w:t>
      </w:r>
      <w:r>
        <w:t xml:space="preserve"> </w:t>
      </w:r>
      <w:r>
        <w:rPr>
          <w:i/>
        </w:rPr>
        <w:t>propedeutika</w:t>
      </w:r>
      <w:r>
        <w:t xml:space="preserve"> je zařazen do výuky do 2. ročníku v rozsahu 2 vyučovacích hodin týdně (tj. 66 hodin za školní rok). Učivo vychází z okruhu </w:t>
      </w:r>
      <w:r>
        <w:rPr>
          <w:i/>
        </w:rPr>
        <w:t>základ</w:t>
      </w:r>
      <w:r>
        <w:t xml:space="preserve"> </w:t>
      </w:r>
      <w:r>
        <w:rPr>
          <w:i/>
        </w:rPr>
        <w:t>pro poskytování ošetřovatelské péče</w:t>
      </w:r>
      <w:r>
        <w:t xml:space="preserve"> RVP. Obsah předmětu tvoří základní klinické pojmy. Žák pracuje s obsahy pojmů jako zdraví, nemoc, anamnéza, diagnóza, léčba, prognóza, etiologie, příznaky nemocí, prevence a vzájemnými vztahy mezi nimi. Učivo zahrnuje teoretický základ o základních vyšetřovacích a léčebných metodách s přihlédnutím na dětský věk, seniory a osoby s hendikepem. Věnuje se také základům radiační ochrany ve zdravotnictví. V předmětu se pracuje s odbornou terminologií. Předmět je zaměřen tak, aby posílil zájem žáka o zdravotnické obory a motivoval ho k dalšímu studiu zdravotnických oborů.</w:t>
      </w:r>
    </w:p>
    <w:p w:rsidR="002A4BB1" w:rsidRDefault="002A4BB1" w:rsidP="002A4BB1">
      <w:pPr>
        <w:pStyle w:val="svpnadpisvtabulce"/>
      </w:pPr>
      <w:r>
        <w:t>Pojetí výuky</w:t>
      </w:r>
    </w:p>
    <w:p w:rsidR="002A4BB1" w:rsidRDefault="002A4BB1" w:rsidP="002A4BB1">
      <w:r>
        <w:t xml:space="preserve">Předmět </w:t>
      </w:r>
      <w:r>
        <w:rPr>
          <w:i/>
        </w:rPr>
        <w:t>klinická</w:t>
      </w:r>
      <w:r>
        <w:t xml:space="preserve"> </w:t>
      </w:r>
      <w:r>
        <w:rPr>
          <w:i/>
        </w:rPr>
        <w:t>propedeutika</w:t>
      </w:r>
      <w:r>
        <w:t xml:space="preserve"> je teoretický předmět. Výuka probíhá v klasické učebně, která je vybavena vhodnými didaktickými pomůckami. Výuka je realizována výkladem a diskusí, řešením modelových situací a samostatnou prací žáků. 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:rsidR="002A4BB1" w:rsidRDefault="002A4BB1" w:rsidP="002A4BB1">
      <w:pPr>
        <w:pStyle w:val="svpnadpisvtabulce"/>
      </w:pPr>
      <w:r>
        <w:t>Hodnocení výsledků žáků</w:t>
      </w:r>
    </w:p>
    <w:p w:rsidR="002A4BB1" w:rsidRDefault="002A4BB1" w:rsidP="002A4BB1">
      <w:r>
        <w:t>Žáci jsou hodnoceni v souladu s platným klasifikačním řádem školy. Při hodnocení se využívá klasifikační stupnice.</w:t>
      </w:r>
    </w:p>
    <w:p w:rsidR="002A4BB1" w:rsidRDefault="002A4BB1" w:rsidP="002A4BB1">
      <w:r>
        <w:t>K hodnocení žáků je možné použít různých forem zjišťování úrovně znalostí:</w:t>
      </w:r>
    </w:p>
    <w:p w:rsidR="002A4BB1" w:rsidRDefault="002A4BB1" w:rsidP="002A4BB1">
      <w:pPr>
        <w:pStyle w:val="odrvtextu"/>
      </w:pPr>
      <w:r>
        <w:t>ústní zkoušení,</w:t>
      </w:r>
    </w:p>
    <w:p w:rsidR="002A4BB1" w:rsidRDefault="002A4BB1" w:rsidP="002A4BB1">
      <w:pPr>
        <w:pStyle w:val="odrvtextu"/>
      </w:pPr>
      <w:r>
        <w:t>písemné zkoušení (orientační testy, testy s výběrem odpovědí, opakovací testy).</w:t>
      </w:r>
    </w:p>
    <w:p w:rsidR="002A4BB1" w:rsidRDefault="002A4BB1" w:rsidP="002A4BB1">
      <w:pPr>
        <w:pStyle w:val="svpnadpisvtabulce"/>
      </w:pPr>
      <w:r>
        <w:t>Rozvíjené klíčové kompetence:</w:t>
      </w:r>
    </w:p>
    <w:p w:rsidR="002A4BB1" w:rsidRDefault="002A4BB1" w:rsidP="002A4BB1">
      <w:pPr>
        <w:pStyle w:val="odrvtextu"/>
      </w:pPr>
      <w:r>
        <w:rPr>
          <w:b/>
        </w:rPr>
        <w:t xml:space="preserve">kompetence k učení, </w:t>
      </w:r>
      <w:r>
        <w:t xml:space="preserve">tzn. žák má pozitivní vztah k učení a k dalšímu (kontinuálnímu) vzdělávání, ovládá efektivní techniky učení a využívá různé informační zdroje; </w:t>
      </w:r>
    </w:p>
    <w:p w:rsidR="002A4BB1" w:rsidRDefault="002A4BB1" w:rsidP="002A4BB1">
      <w:pPr>
        <w:pStyle w:val="odrvtextu"/>
      </w:pPr>
      <w:r>
        <w:rPr>
          <w:b/>
        </w:rPr>
        <w:t xml:space="preserve">kompetence k řešení problémů, </w:t>
      </w:r>
      <w:r>
        <w:t>tzn., žák uplatňuje získané znalosti při řešení problémů, spolupracuje v rámci týmového řešení problémů;</w:t>
      </w:r>
    </w:p>
    <w:p w:rsidR="002A4BB1" w:rsidRDefault="002A4BB1" w:rsidP="002A4BB1">
      <w:pPr>
        <w:pStyle w:val="odrvtextu"/>
      </w:pPr>
      <w:r>
        <w:rPr>
          <w:b/>
        </w:rPr>
        <w:lastRenderedPageBreak/>
        <w:t xml:space="preserve">kompetence komunikativní, </w:t>
      </w:r>
      <w:r>
        <w:t>tzn., žák komunikuje a diskutuje na odborné úrovni, formuluje a obhajuje své názory a postoje, dodržuje odbornou terminologii v písemné a ústní formě;</w:t>
      </w:r>
    </w:p>
    <w:p w:rsidR="002A4BB1" w:rsidRDefault="002A4BB1" w:rsidP="002A4BB1">
      <w:pPr>
        <w:pStyle w:val="odrvtextu"/>
      </w:pPr>
      <w:r>
        <w:rPr>
          <w:b/>
        </w:rPr>
        <w:t xml:space="preserve">kompetence personální a sociální, </w:t>
      </w:r>
      <w:r>
        <w:t>tzn., žák má odpovědný vztah ke svému zdraví, adaptuje se plynule na pracovní prostředí a zařadí se do zdravotnického týmu;</w:t>
      </w:r>
    </w:p>
    <w:p w:rsidR="002A4BB1" w:rsidRDefault="002A4BB1" w:rsidP="002A4BB1">
      <w:pPr>
        <w:pStyle w:val="odrvtextu"/>
      </w:pPr>
      <w:r>
        <w:rPr>
          <w:b/>
        </w:rPr>
        <w:t xml:space="preserve">občanské kompetence a kulturní povědomí, </w:t>
      </w:r>
      <w:r>
        <w:t>tzn., žák chápe význam životního prostředí pro zdraví člověka, uznává hodnotu života, uvědomuje si odpovědnost za vlastní život a spoluodpovědnost při zabezpečování ochrany života a zdraví ostatních;</w:t>
      </w:r>
    </w:p>
    <w:p w:rsidR="002A4BB1" w:rsidRDefault="002A4BB1" w:rsidP="002A4BB1">
      <w:pPr>
        <w:pStyle w:val="odrvtextu"/>
      </w:pPr>
      <w:r>
        <w:rPr>
          <w:b/>
        </w:rPr>
        <w:t>kompetence k pracovnímu uplatnění,</w:t>
      </w:r>
      <w:r>
        <w:t xml:space="preserve"> tzn., žák má odpovědný postoj ke vzdělávání a vlastní profesní budoucnosti, má přehled o možnostech uplatnění v ošetřovatelských oborech;</w:t>
      </w:r>
    </w:p>
    <w:p w:rsidR="002A4BB1" w:rsidRDefault="002A4BB1" w:rsidP="002A4BB1">
      <w:pPr>
        <w:pStyle w:val="odrvtextu"/>
        <w:rPr>
          <w:b/>
        </w:rPr>
      </w:pPr>
      <w:r>
        <w:rPr>
          <w:b/>
        </w:rPr>
        <w:t>kompetence využívat prostředky ICT a pracovat s informacemi,</w:t>
      </w:r>
      <w:r>
        <w:t xml:space="preserve"> tzn., žák získává informace z otevřených zdrojů, efektivně s nimi pracuje a kriticky je vyhodnocuje.</w:t>
      </w:r>
      <w:r>
        <w:rPr>
          <w:b/>
        </w:rPr>
        <w:t xml:space="preserve"> </w:t>
      </w:r>
    </w:p>
    <w:p w:rsidR="002A4BB1" w:rsidRDefault="002A4BB1" w:rsidP="002A4BB1">
      <w:pPr>
        <w:pStyle w:val="svpnadpisvtabulce"/>
      </w:pPr>
      <w:r>
        <w:t>Z odborných kompetencí předmět vede žáka k tomu, aby:</w:t>
      </w:r>
    </w:p>
    <w:p w:rsidR="002A4BB1" w:rsidRPr="002A4BB1" w:rsidRDefault="002A4BB1" w:rsidP="00660526">
      <w:pPr>
        <w:pStyle w:val="odrvtextu"/>
        <w:rPr>
          <w:b/>
        </w:rPr>
      </w:pPr>
      <w:r>
        <w:t>byl vybaven základními vědomostmi z klinických oborů a uměl tyto vědomosti aplikovat při studiu a v praktické činnosti; osvojil si a správně užíval českou i latinskou terminologii.</w:t>
      </w:r>
    </w:p>
    <w:p w:rsidR="002A4BB1" w:rsidRDefault="002A4BB1" w:rsidP="002A4BB1">
      <w:pPr>
        <w:pStyle w:val="svpnadpisvtabulce"/>
      </w:pPr>
      <w:r>
        <w:t>Rozvíjená průřezová témata:</w:t>
      </w:r>
    </w:p>
    <w:p w:rsidR="00535F47" w:rsidRPr="00F94CD2" w:rsidRDefault="00535F47" w:rsidP="00535F47">
      <w:pPr>
        <w:pStyle w:val="PT"/>
      </w:pPr>
      <w:r w:rsidRPr="00F94CD2">
        <w:t>Člověk a svět práce</w:t>
      </w:r>
    </w:p>
    <w:p w:rsidR="002A4BB1" w:rsidRPr="002A4BB1" w:rsidRDefault="002A4BB1" w:rsidP="00660526">
      <w:pPr>
        <w:pStyle w:val="odrvtextu"/>
        <w:rPr>
          <w:b/>
        </w:rPr>
      </w:pPr>
      <w:r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:rsidR="002A4BB1" w:rsidRPr="002A4BB1" w:rsidRDefault="002A4BB1" w:rsidP="002A4BB1">
      <w:pPr>
        <w:pStyle w:val="PT"/>
        <w:ind w:left="0" w:firstLine="0"/>
      </w:pPr>
      <w:r>
        <w:t xml:space="preserve">Člověk a životní prostředí </w:t>
      </w:r>
    </w:p>
    <w:p w:rsidR="002A4BB1" w:rsidRDefault="002A4BB1" w:rsidP="00660526">
      <w:pPr>
        <w:pStyle w:val="odrvtextu"/>
        <w:rPr>
          <w:b/>
        </w:rPr>
      </w:pPr>
      <w:r>
        <w:t>žák si uvědomí vztah mezi životním prostředím, životním stylem a zdravím jedince a společnosti, osvojí si zásady zdravého životního stylu a vědomí odpovědnosti za své zdraví;</w:t>
      </w:r>
    </w:p>
    <w:p w:rsidR="002A4BB1" w:rsidRPr="002A4BB1" w:rsidRDefault="002A4BB1" w:rsidP="002A4BB1">
      <w:pPr>
        <w:pStyle w:val="PT"/>
      </w:pPr>
      <w:r>
        <w:t>Občan v demokratické společnosti</w:t>
      </w:r>
    </w:p>
    <w:p w:rsidR="002A4BB1" w:rsidRDefault="002A4BB1" w:rsidP="00660526">
      <w:pPr>
        <w:pStyle w:val="odrvtextu"/>
        <w:rPr>
          <w:b/>
        </w:rPr>
      </w:pPr>
      <w:r>
        <w:t xml:space="preserve">žák má vhodnou míru sebevědomí, </w:t>
      </w:r>
      <w:proofErr w:type="spellStart"/>
      <w:r>
        <w:t>sebeodpovědnosti</w:t>
      </w:r>
      <w:proofErr w:type="spellEnd"/>
      <w:r>
        <w:t xml:space="preserve"> a schopnosti morálního úsudku.</w:t>
      </w:r>
    </w:p>
    <w:p w:rsidR="002A4BB1" w:rsidRDefault="002A4BB1" w:rsidP="002A4BB1">
      <w:pPr>
        <w:pStyle w:val="svpnadpisvtabulce"/>
      </w:pPr>
      <w:r>
        <w:t>Uplatnění mezipředmětových vztahů:</w:t>
      </w:r>
    </w:p>
    <w:p w:rsidR="002A4BB1" w:rsidRDefault="002A4BB1" w:rsidP="002A4BB1">
      <w:r>
        <w:rPr>
          <w:snapToGrid w:val="0"/>
        </w:rPr>
        <w:t>V předmětu jsou uplatňovány znalosti především z </w:t>
      </w:r>
      <w:r>
        <w:t xml:space="preserve">biologie, somatologie, fyziky, chemie, ošetřovatelství, výchovy ke zdraví, první pomoci, patologie, </w:t>
      </w:r>
      <w:r>
        <w:rPr>
          <w:color w:val="000000" w:themeColor="text1"/>
        </w:rPr>
        <w:t>základy epidemiologie a hygieny</w:t>
      </w:r>
      <w:r>
        <w:t xml:space="preserve"> a ICT, odborná terminologie vychází z latinského jazyka.</w:t>
      </w:r>
    </w:p>
    <w:p w:rsidR="002A4BB1" w:rsidRDefault="002A4BB1" w:rsidP="002A4BB1">
      <w:pPr>
        <w:rPr>
          <w:snapToGrid w:val="0"/>
        </w:rPr>
      </w:pPr>
      <w:r>
        <w:t>Na výuku klinické propedeutiky se navazuje především v ošetřovatelství a ošetřování nemocných.</w:t>
      </w:r>
      <w:r>
        <w:rPr>
          <w:snapToGrid w:val="0"/>
        </w:rPr>
        <w:t xml:space="preserve"> </w:t>
      </w:r>
    </w:p>
    <w:p w:rsidR="002A4BB1" w:rsidRDefault="002A4BB1" w:rsidP="002A4BB1">
      <w:pPr>
        <w:pStyle w:val="Odstavec2svp"/>
        <w:rPr>
          <w:snapToGrid w:val="0"/>
        </w:rPr>
      </w:pPr>
      <w:r>
        <w:rPr>
          <w:snapToGrid w:val="0"/>
        </w:rPr>
        <w:br w:type="page"/>
      </w:r>
    </w:p>
    <w:p w:rsidR="002A4BB1" w:rsidRPr="002A4BB1" w:rsidRDefault="002A4BB1" w:rsidP="002A4BB1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2A4BB1">
        <w:rPr>
          <w:b/>
          <w:sz w:val="26"/>
          <w:szCs w:val="26"/>
        </w:rPr>
        <w:lastRenderedPageBreak/>
        <w:t>Rámcový rozpis učiva</w:t>
      </w:r>
    </w:p>
    <w:bookmarkEnd w:id="1"/>
    <w:p w:rsidR="002A4BB1" w:rsidRPr="002A4BB1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p w:rsidR="002A4BB1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Klinická propedeutika</w:t>
      </w:r>
      <w:r w:rsidRPr="002A4BB1">
        <w:rPr>
          <w:szCs w:val="24"/>
        </w:rPr>
        <w:t xml:space="preserve"> – </w:t>
      </w:r>
      <w:r>
        <w:rPr>
          <w:szCs w:val="24"/>
        </w:rPr>
        <w:t>2</w:t>
      </w:r>
      <w:r w:rsidRPr="002A4BB1">
        <w:rPr>
          <w:szCs w:val="24"/>
        </w:rPr>
        <w:t xml:space="preserve">. ročník – </w:t>
      </w:r>
      <w:r>
        <w:rPr>
          <w:szCs w:val="24"/>
        </w:rPr>
        <w:t>2</w:t>
      </w:r>
      <w:r w:rsidRPr="002A4BB1">
        <w:rPr>
          <w:szCs w:val="24"/>
        </w:rPr>
        <w:t xml:space="preserve"> hodiny týdně – </w:t>
      </w:r>
      <w:r>
        <w:rPr>
          <w:szCs w:val="24"/>
        </w:rPr>
        <w:t>66</w:t>
      </w:r>
      <w:r w:rsidRPr="002A4BB1">
        <w:rPr>
          <w:szCs w:val="24"/>
        </w:rPr>
        <w:t xml:space="preserve"> vyučovacích hodin</w:t>
      </w:r>
      <w:bookmarkEnd w:id="2"/>
      <w:bookmarkEnd w:id="3"/>
    </w:p>
    <w:p w:rsidR="002A4BB1" w:rsidRPr="002A4BB1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2A4BB1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B1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B1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Obsah vzdělávání</w:t>
            </w:r>
          </w:p>
        </w:tc>
      </w:tr>
      <w:tr w:rsidR="002A4BB1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B1" w:rsidRDefault="002A4BB1" w:rsidP="002A4BB1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2A4BB1" w:rsidRDefault="002A4BB1" w:rsidP="002A4BB1">
            <w:pPr>
              <w:pStyle w:val="svpodrzkavtabulce"/>
              <w:rPr>
                <w:rFonts w:cs="Courier New"/>
              </w:rPr>
            </w:pPr>
            <w:r>
              <w:t>charakterizuje obsah klinické propedeutiky a její postavení v kontextu lékařských oborů;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t>využívá odbornou terminologii v písemné i ústní formě;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t>orientuje se v lékařské anamnéze;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t>podílí se na edukaci klienta k odpovědnosti za své zdraví;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t>používá správně pojmy zdraví a nemoc;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t>popíše rizikové faktory, které ovlivňují zdraví;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popíše fáze diagnosticko-terapeutického procesu;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B1" w:rsidRDefault="002A4BB1" w:rsidP="002A4BB1">
            <w:pPr>
              <w:pStyle w:val="svpslovan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Úvod do předmětu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vymezení pojmu klinická propedeutika;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anamnéza, diagnóza, prognóza, terapie prevence nemoci – primární, sekundární, terciální</w:t>
            </w:r>
          </w:p>
        </w:tc>
      </w:tr>
      <w:tr w:rsidR="002A4BB1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B1" w:rsidRDefault="002A4BB1" w:rsidP="008D56D0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definuje a vysvětlí základní pojmy;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popíše subjektivní a objektivní příznaky nemocí včetně podrobnějšího členění základního příznaku;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stanoví život ohrožující příznaky a stavy;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objasní význam ošetřovatelské symptomatologie;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pojmenuje subjektivní a objektivní příznaky nemoci a život ohrožující stavy;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objasní prevenci, vysvětlí etiopatogenezi a popíše základní příznaky onemocnění; </w:t>
            </w:r>
          </w:p>
          <w:p w:rsidR="002A4BB1" w:rsidRDefault="002A4BB1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B1" w:rsidRPr="008D56D0" w:rsidRDefault="002A4BB1" w:rsidP="008D56D0">
            <w:pPr>
              <w:pStyle w:val="svpslovannadpisvtabulce"/>
              <w:rPr>
                <w:rFonts w:eastAsia="Lucida Sans Unicode"/>
              </w:rPr>
            </w:pPr>
            <w:r w:rsidRPr="008D56D0">
              <w:rPr>
                <w:rFonts w:eastAsia="Lucida Sans Unicode"/>
              </w:rPr>
              <w:t>Obecná symptomatologie</w:t>
            </w:r>
            <w:r w:rsidR="008D56D0" w:rsidRPr="008D56D0">
              <w:rPr>
                <w:rFonts w:eastAsia="Lucida Sans Unicode"/>
              </w:rPr>
              <w:t xml:space="preserve"> </w:t>
            </w:r>
            <w:r w:rsidRPr="008D56D0">
              <w:rPr>
                <w:rFonts w:eastAsia="Lucida Sans Unicode"/>
              </w:rPr>
              <w:t xml:space="preserve">subjektivní a objektivní příznaky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při onemocnění dýchacího systému,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při onemocnění krevního oběhu,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onemocnění trávícího systému,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při onemocnění ledvin a močových cest,</w:t>
            </w:r>
          </w:p>
          <w:p w:rsidR="002A4BB1" w:rsidRDefault="002A4BB1" w:rsidP="008D56D0">
            <w:pPr>
              <w:pStyle w:val="svpodrzkavtabulce"/>
            </w:pPr>
            <w:r>
              <w:rPr>
                <w:rFonts w:eastAsia="Lucida Sans Unicode"/>
              </w:rPr>
              <w:t>příznaky onemocnění žláz endokrinního systému</w:t>
            </w:r>
          </w:p>
        </w:tc>
      </w:tr>
      <w:tr w:rsidR="002A4BB1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0" w:rsidRDefault="008D56D0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vysvětlí podstatu, druhy, zásady uskutečňování fyzikálního vyšetření;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vysvětlí podstatu, druhy, podmínky 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a zásady uskutečňování standardních diagnostických metod (laboratorní, zobrazovací a funkční metody); 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orientuje se v přípravě pacienta před vyšetřením a v péči po </w:t>
            </w:r>
            <w:r>
              <w:rPr>
                <w:rFonts w:eastAsia="Lucida Sans Unicode"/>
                <w:kern w:val="2"/>
              </w:rPr>
              <w:lastRenderedPageBreak/>
              <w:t>vyšetření</w:t>
            </w:r>
            <w:r w:rsidR="008D56D0">
              <w:rPr>
                <w:rFonts w:eastAsia="Lucida Sans Unicode"/>
                <w:kern w:val="2"/>
              </w:rPr>
              <w:t xml:space="preserve"> </w:t>
            </w:r>
            <w:r>
              <w:rPr>
                <w:rFonts w:eastAsia="Lucida Sans Unicode"/>
                <w:kern w:val="2"/>
              </w:rPr>
              <w:t>u</w:t>
            </w:r>
            <w:r w:rsidR="008D56D0">
              <w:rPr>
                <w:rFonts w:eastAsia="Lucida Sans Unicode"/>
                <w:kern w:val="2"/>
              </w:rPr>
              <w:t> </w:t>
            </w:r>
            <w:r>
              <w:rPr>
                <w:rFonts w:eastAsia="Lucida Sans Unicode"/>
                <w:kern w:val="2"/>
              </w:rPr>
              <w:t>základních vyšetřovacích metod;</w:t>
            </w:r>
          </w:p>
          <w:p w:rsidR="002A4BB1" w:rsidRPr="008D56D0" w:rsidRDefault="002A4BB1" w:rsidP="008D56D0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objasní využití rentgenového záření </w:t>
            </w:r>
            <w:r w:rsidRPr="008D56D0">
              <w:rPr>
                <w:rFonts w:eastAsia="Lucida Sans Unicode"/>
                <w:kern w:val="2"/>
              </w:rPr>
              <w:t>a radionuklidů v diagnostice a léčbě;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uvede možná zdravotní rizika spojená s vyšetřením či léčbou pomocí rentgenového záření či radionuklidů;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popíše základní principy a prostředky ochrany před ionizujícím zářením;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aplikuje odbornou terminologii v písemné i ústní podobě;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B1" w:rsidRDefault="002A4BB1" w:rsidP="008D56D0">
            <w:pPr>
              <w:pStyle w:val="svpslovan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lastRenderedPageBreak/>
              <w:t>Vyšetřovací metody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sledování a měření fyziologických funkcí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fyzikální vyšetření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vyšetřovací metody laboratorní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zobrazovací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endoskopické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funkční vyšetřovací metody a zátěžové testy </w:t>
            </w:r>
          </w:p>
          <w:p w:rsidR="002A4BB1" w:rsidRDefault="002A4BB1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360" w:hanging="360"/>
              <w:rPr>
                <w:rFonts w:eastAsia="Lucida Sans Unicode" w:cs="Times New Roman"/>
                <w:kern w:val="2"/>
                <w:lang w:eastAsia="en-US"/>
              </w:rPr>
            </w:pPr>
          </w:p>
          <w:p w:rsidR="002A4BB1" w:rsidRPr="008D56D0" w:rsidRDefault="002A4BB1" w:rsidP="008D56D0">
            <w:pPr>
              <w:pStyle w:val="svpodrzkavtabulce"/>
              <w:rPr>
                <w:rFonts w:eastAsia="Lucida Sans Unicode"/>
                <w:kern w:val="2"/>
              </w:rPr>
            </w:pPr>
            <w:r>
              <w:t>základy radiační ochrany</w:t>
            </w:r>
          </w:p>
          <w:p w:rsidR="002A4BB1" w:rsidRDefault="002A4BB1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360" w:hanging="360"/>
              <w:rPr>
                <w:lang w:eastAsia="en-US"/>
              </w:rPr>
            </w:pPr>
          </w:p>
        </w:tc>
      </w:tr>
      <w:tr w:rsidR="002A4BB1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B1" w:rsidRPr="008D56D0" w:rsidRDefault="002A4BB1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2A4BB1" w:rsidRPr="008D56D0" w:rsidRDefault="002A4BB1" w:rsidP="00C41B53">
            <w:pPr>
              <w:pStyle w:val="svpodrzkavtabulce"/>
              <w:rPr>
                <w:rFonts w:eastAsia="Lucida Sans Unicode"/>
                <w:kern w:val="2"/>
              </w:rPr>
            </w:pPr>
            <w:r w:rsidRPr="008D56D0">
              <w:rPr>
                <w:rFonts w:eastAsia="Lucida Sans Unicode"/>
                <w:kern w:val="2"/>
              </w:rPr>
              <w:t>vysvětlí podstatu, druhy, podmínky a zásady uskutečňování standardních léčebných metod (konzervativní, operativní a doplňkové léčebné metody);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vysvětlí princip racionální stravy a léčby dietou, vyjmenuje a vysvětlí možnosti perorální, parenterální a enterální stravy a výživy; 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vysvětlí princip a využití fyzioterapeutických metod; 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charakterizuje podstatu a důvody transfuzní a infuzní terapie;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vysvětlí princip a využití chirurgické léčby;</w:t>
            </w:r>
          </w:p>
          <w:p w:rsidR="002A4BB1" w:rsidRPr="008D56D0" w:rsidRDefault="002A4BB1" w:rsidP="00B04903">
            <w:pPr>
              <w:pStyle w:val="svpodrzkavtabulce"/>
              <w:rPr>
                <w:rFonts w:eastAsia="Lucida Sans Unicode"/>
                <w:kern w:val="2"/>
              </w:rPr>
            </w:pPr>
            <w:r w:rsidRPr="008D56D0">
              <w:rPr>
                <w:rFonts w:eastAsia="Lucida Sans Unicode"/>
                <w:kern w:val="2"/>
              </w:rPr>
              <w:t>vysvětlí specifika konzervativní a</w:t>
            </w:r>
            <w:r w:rsidR="008D56D0" w:rsidRPr="008D56D0">
              <w:rPr>
                <w:rFonts w:eastAsia="Lucida Sans Unicode"/>
                <w:kern w:val="2"/>
              </w:rPr>
              <w:t> </w:t>
            </w:r>
            <w:r w:rsidRPr="008D56D0">
              <w:rPr>
                <w:rFonts w:eastAsia="Lucida Sans Unicode"/>
                <w:kern w:val="2"/>
              </w:rPr>
              <w:t>operativní léčby u dětí, seniorů a osob s handicapem;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vysvětlí princip a využití onkologické léčby; 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objasní účinky a způsoby podávání základních lékových skupin ovlivňujících nervovou, oběhovou, dýchací, zažívací, vylučovací a endokrinní soustavu; </w:t>
            </w:r>
          </w:p>
          <w:p w:rsidR="002A4BB1" w:rsidRDefault="002A4BB1" w:rsidP="002A4BB1">
            <w:pPr>
              <w:pStyle w:val="svpodrzkavtabulce"/>
              <w:rPr>
                <w:rFonts w:eastAsia="SimSun"/>
              </w:rPr>
            </w:pPr>
            <w:r>
              <w:rPr>
                <w:rFonts w:eastAsia="Lucida Sans Unicode"/>
                <w:kern w:val="2"/>
              </w:rPr>
              <w:t>vysvětlí principy a využití vybraných doplňkových a alternativních metod;</w:t>
            </w:r>
          </w:p>
          <w:p w:rsidR="002A4BB1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užívá správně českou i latinskou odbornou terminologii; </w:t>
            </w:r>
          </w:p>
          <w:p w:rsidR="002A4BB1" w:rsidRDefault="002A4BB1" w:rsidP="002A4BB1">
            <w:pPr>
              <w:pStyle w:val="svpodrzkavtabulce"/>
              <w:rPr>
                <w:rFonts w:eastAsia="SimSun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B1" w:rsidRDefault="002A4BB1" w:rsidP="008D56D0">
            <w:pPr>
              <w:pStyle w:val="svpslovan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Léčebné postupy a farmakologie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základní pojmy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dietetika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fyzioterapie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infuzní a transfuzní terapie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chirurgická léčba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onkologická léčba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alternativní léčebné metody 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obecná farmakologie</w:t>
            </w:r>
          </w:p>
          <w:p w:rsidR="002A4BB1" w:rsidRDefault="002A4BB1" w:rsidP="008D56D0">
            <w:pPr>
              <w:pStyle w:val="svpodrzka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speciální farmakologie</w:t>
            </w:r>
          </w:p>
        </w:tc>
      </w:tr>
    </w:tbl>
    <w:p w:rsidR="002A4BB1" w:rsidRDefault="002A4BB1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hAnsi="Calibri" w:cs="Calibri"/>
          <w:sz w:val="22"/>
          <w:szCs w:val="22"/>
        </w:rPr>
      </w:pPr>
    </w:p>
    <w:sectPr w:rsidR="002A4BB1" w:rsidSect="00824743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E32" w:rsidRDefault="004F1E32" w:rsidP="000250A9">
      <w:pPr>
        <w:spacing w:before="0"/>
      </w:pPr>
      <w:r>
        <w:separator/>
      </w:r>
    </w:p>
  </w:endnote>
  <w:endnote w:type="continuationSeparator" w:id="0">
    <w:p w:rsidR="004F1E32" w:rsidRDefault="004F1E32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E32" w:rsidRDefault="004F1E32" w:rsidP="000250A9">
      <w:pPr>
        <w:spacing w:before="0"/>
      </w:pPr>
      <w:r>
        <w:separator/>
      </w:r>
    </w:p>
  </w:footnote>
  <w:footnote w:type="continuationSeparator" w:id="0">
    <w:p w:rsidR="004F1E32" w:rsidRDefault="004F1E32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2A4BB1" w:rsidRPr="002A4BB1">
      <w:rPr>
        <w:szCs w:val="24"/>
      </w:rPr>
      <w:t>Klinická propedeutika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A3E4078"/>
    <w:multiLevelType w:val="hybridMultilevel"/>
    <w:tmpl w:val="2042D382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216693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768A3"/>
    <w:multiLevelType w:val="hybridMultilevel"/>
    <w:tmpl w:val="0B5E7E20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55FF1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4BB1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1E32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60526"/>
    <w:rsid w:val="00673876"/>
    <w:rsid w:val="00685113"/>
    <w:rsid w:val="0069126D"/>
    <w:rsid w:val="006A489D"/>
    <w:rsid w:val="00711FF2"/>
    <w:rsid w:val="0073095C"/>
    <w:rsid w:val="0073610C"/>
    <w:rsid w:val="00745C89"/>
    <w:rsid w:val="00764A29"/>
    <w:rsid w:val="007A448A"/>
    <w:rsid w:val="007C4142"/>
    <w:rsid w:val="007F2F7A"/>
    <w:rsid w:val="00824743"/>
    <w:rsid w:val="0082672D"/>
    <w:rsid w:val="0084152C"/>
    <w:rsid w:val="008B2BCE"/>
    <w:rsid w:val="008D56D0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74F1D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17757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467B3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50CFC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E783A-B30C-4AD1-8F14-E59EF5DD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2018-07-01T17:42:00Z</dcterms:created>
  <dcterms:modified xsi:type="dcterms:W3CDTF">2018-10-30T19:43:00Z</dcterms:modified>
</cp:coreProperties>
</file>