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09A" w:rsidRPr="0057309A" w:rsidRDefault="0057309A" w:rsidP="0057309A">
      <w:pPr>
        <w:keepNext/>
        <w:tabs>
          <w:tab w:val="left" w:pos="284"/>
        </w:tabs>
        <w:spacing w:before="240" w:line="240" w:lineRule="auto"/>
        <w:outlineLvl w:val="1"/>
        <w:rPr>
          <w:rFonts w:cs="Arial"/>
          <w:b/>
          <w:iCs/>
          <w:kern w:val="32"/>
          <w:sz w:val="28"/>
          <w:szCs w:val="28"/>
        </w:rPr>
      </w:pPr>
      <w:bookmarkStart w:id="0" w:name="_Toc399269269"/>
      <w:bookmarkStart w:id="1" w:name="_Hlk517898479"/>
      <w:r w:rsidRPr="0057309A">
        <w:rPr>
          <w:rFonts w:ascii="Tahoma" w:eastAsia="Lucida Sans Unicode" w:hAnsi="Tahoma" w:cs="Tahoma"/>
          <w:sz w:val="40"/>
          <w:lang w:bidi="cs-CZ"/>
        </w:rPr>
        <w:t>Hospodářské výpočty</w:t>
      </w:r>
      <w:bookmarkEnd w:id="0"/>
      <w:bookmarkEnd w:id="1"/>
    </w:p>
    <w:p w:rsidR="005F0472" w:rsidRDefault="005F0472" w:rsidP="0057309A">
      <w:pPr>
        <w:spacing w:before="120" w:after="0" w:line="240" w:lineRule="auto"/>
      </w:pPr>
    </w:p>
    <w:p w:rsidR="0057309A" w:rsidRPr="0057309A" w:rsidRDefault="0057309A" w:rsidP="0057309A">
      <w:pPr>
        <w:spacing w:before="120" w:after="0" w:line="240" w:lineRule="auto"/>
      </w:pPr>
      <w:r w:rsidRPr="0057309A">
        <w:t xml:space="preserve">Kód a název oboru vzdělání: </w:t>
      </w:r>
      <w:r w:rsidRPr="0057309A">
        <w:tab/>
      </w:r>
      <w:r w:rsidRPr="0057309A">
        <w:tab/>
        <w:t xml:space="preserve">63-41-M/02 Obchodní akademie </w:t>
      </w:r>
    </w:p>
    <w:p w:rsidR="0057309A" w:rsidRPr="0057309A" w:rsidRDefault="0057309A" w:rsidP="0057309A">
      <w:pPr>
        <w:spacing w:after="0" w:line="240" w:lineRule="auto"/>
      </w:pPr>
      <w:r w:rsidRPr="0057309A">
        <w:t>Název školy:</w:t>
      </w:r>
      <w:r w:rsidRPr="0057309A">
        <w:tab/>
      </w:r>
      <w:r w:rsidRPr="0057309A">
        <w:tab/>
      </w:r>
      <w:r w:rsidRPr="0057309A">
        <w:tab/>
      </w:r>
      <w:r w:rsidRPr="0057309A">
        <w:tab/>
        <w:t xml:space="preserve">Gymnázium a SOŠZE Vyškov </w:t>
      </w:r>
      <w:r w:rsidRPr="0057309A">
        <w:tab/>
      </w:r>
      <w:r w:rsidRPr="0057309A">
        <w:tab/>
      </w:r>
    </w:p>
    <w:p w:rsidR="0057309A" w:rsidRPr="0057309A" w:rsidRDefault="0057309A" w:rsidP="0057309A">
      <w:pPr>
        <w:spacing w:after="0" w:line="240" w:lineRule="auto"/>
      </w:pPr>
      <w:r w:rsidRPr="0057309A">
        <w:t xml:space="preserve">Název ŠVP: </w:t>
      </w:r>
      <w:r w:rsidRPr="0057309A">
        <w:tab/>
      </w:r>
      <w:r w:rsidRPr="0057309A">
        <w:tab/>
      </w:r>
      <w:r w:rsidRPr="0057309A">
        <w:tab/>
      </w:r>
      <w:r w:rsidRPr="0057309A">
        <w:tab/>
        <w:t xml:space="preserve">Obchodní akademie  </w:t>
      </w:r>
    </w:p>
    <w:p w:rsidR="0057309A" w:rsidRPr="0057309A" w:rsidRDefault="0057309A" w:rsidP="0057309A">
      <w:pPr>
        <w:spacing w:after="0" w:line="240" w:lineRule="auto"/>
      </w:pPr>
      <w:r w:rsidRPr="0057309A">
        <w:t xml:space="preserve">Forma vzdělání: </w:t>
      </w:r>
      <w:r w:rsidRPr="0057309A">
        <w:tab/>
      </w:r>
      <w:r w:rsidRPr="0057309A">
        <w:tab/>
      </w:r>
      <w:r w:rsidRPr="0057309A">
        <w:tab/>
        <w:t>denní</w:t>
      </w:r>
    </w:p>
    <w:p w:rsidR="005F0472" w:rsidRDefault="0057309A" w:rsidP="0057309A">
      <w:pPr>
        <w:spacing w:after="0" w:line="240" w:lineRule="auto"/>
      </w:pPr>
      <w:r w:rsidRPr="0057309A">
        <w:t>Celkový počet hodin za studium:</w:t>
      </w:r>
    </w:p>
    <w:p w:rsidR="0057309A" w:rsidRPr="0057309A" w:rsidRDefault="005F0472" w:rsidP="0057309A">
      <w:pPr>
        <w:spacing w:after="0" w:line="240" w:lineRule="auto"/>
      </w:pPr>
      <w:r>
        <w:t xml:space="preserve">- </w:t>
      </w:r>
      <w:r w:rsidRPr="00730A57">
        <w:t>zaměření ekonomika a finance</w:t>
      </w:r>
      <w:r w:rsidR="0057309A" w:rsidRPr="0057309A">
        <w:t xml:space="preserve"> </w:t>
      </w:r>
      <w:r w:rsidR="0057309A" w:rsidRPr="0057309A">
        <w:tab/>
        <w:t>6</w:t>
      </w:r>
      <w:r w:rsidR="003F76AF">
        <w:t>6</w:t>
      </w:r>
    </w:p>
    <w:p w:rsidR="0057309A" w:rsidRPr="0057309A" w:rsidRDefault="0057309A" w:rsidP="0057309A">
      <w:pPr>
        <w:tabs>
          <w:tab w:val="left" w:pos="3544"/>
        </w:tabs>
        <w:spacing w:after="0" w:line="240" w:lineRule="auto"/>
      </w:pPr>
      <w:r w:rsidRPr="0057309A">
        <w:t xml:space="preserve">Datum platnosti od: </w:t>
      </w:r>
      <w:r w:rsidRPr="0057309A">
        <w:tab/>
        <w:t>1. 9. 201</w:t>
      </w:r>
      <w:r w:rsidR="00E6540C">
        <w:t>8</w:t>
      </w:r>
      <w:bookmarkStart w:id="2" w:name="_GoBack"/>
      <w:bookmarkEnd w:id="2"/>
    </w:p>
    <w:p w:rsidR="0057309A" w:rsidRPr="0057309A" w:rsidRDefault="0057309A" w:rsidP="0057309A">
      <w:pPr>
        <w:tabs>
          <w:tab w:val="left" w:pos="1134"/>
        </w:tabs>
        <w:spacing w:before="240" w:line="240" w:lineRule="auto"/>
        <w:jc w:val="left"/>
        <w:outlineLvl w:val="0"/>
        <w:rPr>
          <w:b/>
          <w:bCs/>
          <w:sz w:val="26"/>
          <w:szCs w:val="26"/>
        </w:rPr>
      </w:pPr>
      <w:r w:rsidRPr="0057309A">
        <w:rPr>
          <w:b/>
          <w:bCs/>
          <w:sz w:val="26"/>
          <w:szCs w:val="26"/>
        </w:rPr>
        <w:t>Pojetí vyučovacího předmětu</w:t>
      </w:r>
    </w:p>
    <w:p w:rsidR="0057309A" w:rsidRPr="0057309A" w:rsidRDefault="0057309A" w:rsidP="0057309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57309A">
        <w:rPr>
          <w:b/>
          <w:bCs/>
        </w:rPr>
        <w:t>Obecné cíle</w:t>
      </w:r>
    </w:p>
    <w:p w:rsidR="0057309A" w:rsidRPr="0057309A" w:rsidRDefault="0057309A" w:rsidP="0057309A">
      <w:pPr>
        <w:spacing w:after="0" w:line="240" w:lineRule="auto"/>
      </w:pPr>
      <w:r w:rsidRPr="0057309A">
        <w:t xml:space="preserve">Cílem předmětu je výchova přemýšlivého člověka, který bude umět používat dané metody a početní postupy ve všech sférách života, v odborné složce vzdělávání, v dalším studiu, v osobním životě a budoucím zaměstnání. </w:t>
      </w:r>
    </w:p>
    <w:p w:rsidR="0057309A" w:rsidRPr="0057309A" w:rsidRDefault="0057309A" w:rsidP="0057309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57309A">
        <w:rPr>
          <w:b/>
          <w:bCs/>
        </w:rPr>
        <w:t>Charakteristika učiva</w:t>
      </w:r>
    </w:p>
    <w:p w:rsidR="0057309A" w:rsidRPr="0057309A" w:rsidRDefault="0057309A" w:rsidP="0057309A">
      <w:pPr>
        <w:spacing w:after="0" w:line="240" w:lineRule="auto"/>
      </w:pPr>
      <w:r w:rsidRPr="0057309A">
        <w:t>Hospodářské výpočty jsou předmětem průpravným, který svými metodami a pracovními postupy slouží k použití ve většině předmětů odborné složky vzdělávání. Hospodářské výpočty shrnují a rozšiřují matematické poznatky, které jsou důležité pro použití v hospodářské praxi.</w:t>
      </w:r>
    </w:p>
    <w:p w:rsidR="0057309A" w:rsidRPr="0057309A" w:rsidRDefault="0057309A" w:rsidP="0057309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57309A">
        <w:rPr>
          <w:b/>
          <w:bCs/>
        </w:rPr>
        <w:t xml:space="preserve">Vzdělávání ve vyučovacím předmětu směřuje k 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aplikaci algoritmizované úlohy na konkrétní příklady z hospodářské praxe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analýze úlohy, volbě vhodného řešení a interpretaci výsledků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kontrole podkladů a dosažených výsledků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používání a využívání názorných pomůcek, odborné literatury, internetu, PC, kalkulátoru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motivování k celoživotnímu vzdělávání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získání důvěry ve vlastní schopnosti a preciznosti při práci</w:t>
      </w:r>
    </w:p>
    <w:p w:rsidR="0057309A" w:rsidRPr="0057309A" w:rsidRDefault="0057309A" w:rsidP="0057309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57309A">
        <w:rPr>
          <w:b/>
          <w:bCs/>
        </w:rPr>
        <w:t xml:space="preserve">Strategie výuky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výklad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popis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vysvětlení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rozhovor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samostatná práce (individuální procvičování nových dovedností)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skupinové vyučování (řešení obtížnějších a časově náročných úloh)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aktualizace učiva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práce s PC 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žákovské soutěže (v rámci třídy, školy, </w:t>
      </w:r>
      <w:proofErr w:type="spellStart"/>
      <w:r w:rsidRPr="0057309A">
        <w:t>meziškolní</w:t>
      </w:r>
      <w:proofErr w:type="spellEnd"/>
      <w:r w:rsidRPr="0057309A">
        <w:t xml:space="preserve"> – porovnání vzájemné úrovně škol)</w:t>
      </w:r>
    </w:p>
    <w:p w:rsidR="0057309A" w:rsidRPr="0057309A" w:rsidRDefault="0057309A" w:rsidP="0057309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57309A">
        <w:rPr>
          <w:b/>
          <w:bCs/>
        </w:rPr>
        <w:t>Hodnocení výsledků žáků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písemné zkoušení dílčí a souhrnné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průběžná klasifikace individuálně zadávaných úkolů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písemné zkoušení (orientační testy, testy s výběrem odpovědí, opakovací testy)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lastRenderedPageBreak/>
        <w:t>pozorování</w:t>
      </w:r>
    </w:p>
    <w:p w:rsid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diagnostický rozhovor</w:t>
      </w:r>
    </w:p>
    <w:p w:rsidR="005F0472" w:rsidRDefault="005F0472" w:rsidP="005F0472">
      <w:pPr>
        <w:pStyle w:val="Odstavecseseznamem"/>
        <w:spacing w:after="0" w:line="240" w:lineRule="auto"/>
        <w:ind w:left="426"/>
        <w:jc w:val="left"/>
      </w:pPr>
    </w:p>
    <w:p w:rsidR="0057309A" w:rsidRPr="005F0472" w:rsidRDefault="0057309A" w:rsidP="005F0472">
      <w:pPr>
        <w:spacing w:after="0" w:line="240" w:lineRule="auto"/>
        <w:ind w:left="66"/>
        <w:jc w:val="left"/>
        <w:rPr>
          <w:b/>
          <w:bCs/>
        </w:rPr>
      </w:pPr>
      <w:r w:rsidRPr="005F0472">
        <w:rPr>
          <w:b/>
          <w:bCs/>
        </w:rPr>
        <w:t>Klíčové kompetence</w:t>
      </w:r>
    </w:p>
    <w:p w:rsidR="0057309A" w:rsidRPr="0057309A" w:rsidRDefault="0057309A" w:rsidP="0057309A">
      <w:pPr>
        <w:spacing w:before="120" w:after="0" w:line="240" w:lineRule="auto"/>
        <w:rPr>
          <w:color w:val="000000"/>
          <w:lang w:eastAsia="ar-SA"/>
        </w:rPr>
      </w:pPr>
      <w:r w:rsidRPr="0057309A">
        <w:rPr>
          <w:color w:val="000000"/>
          <w:lang w:eastAsia="ar-SA"/>
        </w:rPr>
        <w:t>Vzdělávání směřuje k tomu, aby žáci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jednali odpovědně, samostatně, aktivně nejen ve vlastním zájmu, ale i pro zájem veřejný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správně používali a převáděli běžné jednotky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používali pojmy kvantifikujícího charakteru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prováděli reálný odhad výsledku řešení dané úlohy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nacházeli vztahy mezi jevy a předměty při řešení praktických úkolů, uměli je vymezit, popsat a správně využít pro dané řešení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četli a vytvářeli různé formy grafického znázornění (tabulky, diagramy, grafy, schémata apod.)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efektivně aplikovali matematické postupy při řešení různých praktických úkolů </w:t>
      </w:r>
      <w:r w:rsidRPr="003F76AF">
        <w:t>v</w:t>
      </w:r>
      <w:r w:rsidR="003F76AF">
        <w:t> </w:t>
      </w:r>
      <w:r w:rsidRPr="003F76AF">
        <w:t>běžných</w:t>
      </w:r>
      <w:r w:rsidRPr="0057309A">
        <w:t xml:space="preserve"> situacích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vyjadřovali se přiměřeně v projevech mluvených i psaných a vhodně se prezentovali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formulovali své myšlenky srozumitelně a souvisle, v písemné podobě přehledně a jazykově správně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účastnili se aktivně diskusí, formulovali a obhajovali své názory a postoje, respektovali názory druhých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vyjadřovali se a vystupovali v souladu se zásadami kultury projevu a chování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pracovali s běžným základním a aplikačním programovým vybavením </w:t>
      </w:r>
    </w:p>
    <w:p w:rsidR="0057309A" w:rsidRPr="0057309A" w:rsidRDefault="0057309A" w:rsidP="0057309A">
      <w:pPr>
        <w:widowControl w:val="0"/>
        <w:autoSpaceDE w:val="0"/>
        <w:autoSpaceDN w:val="0"/>
        <w:adjustRightInd w:val="0"/>
        <w:spacing w:before="120" w:line="240" w:lineRule="auto"/>
        <w:rPr>
          <w:b/>
          <w:bCs/>
        </w:rPr>
      </w:pPr>
      <w:r w:rsidRPr="0057309A">
        <w:rPr>
          <w:b/>
          <w:bCs/>
        </w:rPr>
        <w:t xml:space="preserve">Vyučovacím předmětem se prolínají průřezová témata  </w:t>
      </w:r>
    </w:p>
    <w:p w:rsidR="0057309A" w:rsidRPr="0057309A" w:rsidRDefault="0057309A" w:rsidP="0057309A">
      <w:pPr>
        <w:spacing w:before="120" w:after="0" w:line="240" w:lineRule="auto"/>
        <w:jc w:val="left"/>
        <w:rPr>
          <w:u w:val="single"/>
        </w:rPr>
      </w:pPr>
      <w:r w:rsidRPr="0057309A">
        <w:rPr>
          <w:u w:val="single"/>
        </w:rPr>
        <w:t xml:space="preserve">Občan v demokratické společnosti </w:t>
      </w:r>
    </w:p>
    <w:p w:rsidR="0057309A" w:rsidRPr="0057309A" w:rsidRDefault="0057309A" w:rsidP="0057309A">
      <w:pPr>
        <w:spacing w:before="120" w:after="0" w:line="240" w:lineRule="auto"/>
        <w:rPr>
          <w:color w:val="000000"/>
          <w:lang w:eastAsia="ar-SA"/>
        </w:rPr>
      </w:pPr>
      <w:r w:rsidRPr="0057309A">
        <w:rPr>
          <w:color w:val="000000"/>
          <w:lang w:eastAsia="ar-SA"/>
        </w:rPr>
        <w:t>Žáci jsou vedeni k tomu, aby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měli vhodnou míru sebevědomí, </w:t>
      </w:r>
      <w:proofErr w:type="spellStart"/>
      <w:proofErr w:type="gramStart"/>
      <w:r w:rsidRPr="0057309A">
        <w:t>sebeodpovědnosti</w:t>
      </w:r>
      <w:proofErr w:type="spellEnd"/>
      <w:r w:rsidRPr="0057309A">
        <w:t xml:space="preserve">  a</w:t>
      </w:r>
      <w:proofErr w:type="gramEnd"/>
      <w:r w:rsidRPr="0057309A">
        <w:t xml:space="preserve"> schopnost morálního úsudku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dovedli jednat s lidmi, diskutovat o citlivých nebo kontroverzních otázkách, hledat kompromisní řešení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mysleli kriticky, tj. dokázali zkoumat věrohodnost informací a vytvořili si vlastí úsudek</w:t>
      </w:r>
    </w:p>
    <w:p w:rsidR="0057309A" w:rsidRPr="0057309A" w:rsidRDefault="0057309A" w:rsidP="0057309A">
      <w:pPr>
        <w:spacing w:before="120" w:after="0" w:line="240" w:lineRule="auto"/>
        <w:jc w:val="left"/>
        <w:rPr>
          <w:u w:val="single"/>
        </w:rPr>
      </w:pPr>
      <w:r w:rsidRPr="0057309A">
        <w:rPr>
          <w:u w:val="single"/>
        </w:rPr>
        <w:t>Člověk a životní prostředí</w:t>
      </w:r>
    </w:p>
    <w:p w:rsidR="0057309A" w:rsidRPr="0057309A" w:rsidRDefault="0057309A" w:rsidP="0057309A">
      <w:pPr>
        <w:spacing w:before="120" w:after="0" w:line="240" w:lineRule="auto"/>
        <w:rPr>
          <w:color w:val="000000"/>
          <w:lang w:eastAsia="ar-SA"/>
        </w:rPr>
      </w:pPr>
      <w:r w:rsidRPr="0057309A">
        <w:rPr>
          <w:color w:val="000000"/>
          <w:lang w:eastAsia="ar-SA"/>
        </w:rPr>
        <w:t>Žáci jsou vedeni k tomu, aby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chápali význam životního prostředí pro člověka  </w:t>
      </w:r>
    </w:p>
    <w:p w:rsidR="0057309A" w:rsidRPr="0057309A" w:rsidRDefault="0057309A" w:rsidP="0057309A">
      <w:pPr>
        <w:spacing w:before="120" w:after="0" w:line="240" w:lineRule="auto"/>
        <w:jc w:val="left"/>
        <w:rPr>
          <w:u w:val="single"/>
        </w:rPr>
      </w:pPr>
      <w:r w:rsidRPr="0057309A">
        <w:rPr>
          <w:u w:val="single"/>
        </w:rPr>
        <w:t xml:space="preserve">Člověk a svět práce </w:t>
      </w:r>
    </w:p>
    <w:p w:rsidR="0057309A" w:rsidRPr="0057309A" w:rsidRDefault="0057309A" w:rsidP="0057309A">
      <w:pPr>
        <w:spacing w:before="120" w:after="0" w:line="240" w:lineRule="auto"/>
        <w:rPr>
          <w:color w:val="000000"/>
          <w:lang w:eastAsia="ar-SA"/>
        </w:rPr>
      </w:pPr>
      <w:r w:rsidRPr="0057309A">
        <w:rPr>
          <w:color w:val="000000"/>
          <w:lang w:eastAsia="ar-SA"/>
        </w:rPr>
        <w:t>Žáci jsou vedeni k tomu, aby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si uvědomovali zodpovědnost za vlastní život, význam vzdělání pro život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byli motivováni k aktivnímu pracovnímu životu a úspěšné kariéře </w:t>
      </w:r>
    </w:p>
    <w:p w:rsidR="0057309A" w:rsidRPr="0057309A" w:rsidRDefault="0057309A" w:rsidP="0057309A">
      <w:pPr>
        <w:spacing w:before="120" w:after="0" w:line="240" w:lineRule="auto"/>
        <w:jc w:val="left"/>
        <w:rPr>
          <w:u w:val="single"/>
        </w:rPr>
      </w:pPr>
      <w:r w:rsidRPr="0057309A">
        <w:rPr>
          <w:u w:val="single"/>
        </w:rPr>
        <w:t>Informační a komunikační technologie</w:t>
      </w:r>
    </w:p>
    <w:p w:rsidR="0057309A" w:rsidRPr="0057309A" w:rsidRDefault="0057309A" w:rsidP="0057309A">
      <w:pPr>
        <w:spacing w:before="120" w:after="0" w:line="240" w:lineRule="auto"/>
        <w:rPr>
          <w:color w:val="000000"/>
          <w:lang w:eastAsia="ar-SA"/>
        </w:rPr>
      </w:pPr>
      <w:r w:rsidRPr="0057309A">
        <w:rPr>
          <w:color w:val="000000"/>
          <w:lang w:eastAsia="ar-SA"/>
        </w:rPr>
        <w:t>Žáci jsou vedeni k tomu, aby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používali základní a aplikační programové vybavení počítače, a to nejen pro účely uplatnění se v praxi, ale i pro potřeby dalšího vzdělávání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pracovali s informacemi a komunikačními prostředky </w:t>
      </w:r>
    </w:p>
    <w:p w:rsidR="0057309A" w:rsidRPr="005F0472" w:rsidRDefault="0057309A" w:rsidP="005F0472">
      <w:pPr>
        <w:spacing w:after="0" w:line="240" w:lineRule="auto"/>
        <w:ind w:left="66"/>
        <w:jc w:val="left"/>
        <w:rPr>
          <w:b/>
          <w:bCs/>
        </w:rPr>
      </w:pPr>
      <w:r w:rsidRPr="0057309A">
        <w:br w:type="page"/>
      </w:r>
      <w:r w:rsidRPr="005F0472">
        <w:rPr>
          <w:b/>
          <w:bCs/>
        </w:rPr>
        <w:lastRenderedPageBreak/>
        <w:t>Vyučovací předmět je úzce spjat s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 xml:space="preserve">ekonomikou 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účetnictvím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statistikou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informa</w:t>
      </w:r>
      <w:r w:rsidR="005F0472">
        <w:t>tikou</w:t>
      </w:r>
    </w:p>
    <w:p w:rsidR="0057309A" w:rsidRPr="0057309A" w:rsidRDefault="0057309A" w:rsidP="005F0472">
      <w:pPr>
        <w:pStyle w:val="Odstavecseseznamem"/>
        <w:numPr>
          <w:ilvl w:val="0"/>
          <w:numId w:val="19"/>
        </w:numPr>
        <w:spacing w:after="0" w:line="240" w:lineRule="auto"/>
        <w:ind w:left="426"/>
        <w:jc w:val="left"/>
      </w:pPr>
      <w:r w:rsidRPr="0057309A">
        <w:t>fyzikou</w:t>
      </w:r>
      <w:r w:rsidR="005F0472">
        <w:br w:type="page"/>
      </w:r>
    </w:p>
    <w:p w:rsidR="0057309A" w:rsidRDefault="0057309A" w:rsidP="0057309A">
      <w:pPr>
        <w:tabs>
          <w:tab w:val="left" w:pos="1134"/>
        </w:tabs>
        <w:spacing w:before="240" w:line="240" w:lineRule="auto"/>
        <w:jc w:val="left"/>
        <w:outlineLvl w:val="0"/>
        <w:rPr>
          <w:b/>
          <w:bCs/>
          <w:sz w:val="26"/>
          <w:szCs w:val="26"/>
        </w:rPr>
      </w:pPr>
      <w:r w:rsidRPr="0057309A">
        <w:rPr>
          <w:b/>
          <w:bCs/>
          <w:sz w:val="26"/>
          <w:szCs w:val="26"/>
        </w:rPr>
        <w:lastRenderedPageBreak/>
        <w:t>Rámcový rozpis učiva</w:t>
      </w:r>
    </w:p>
    <w:p w:rsidR="0057309A" w:rsidRPr="0057309A" w:rsidRDefault="0057309A" w:rsidP="0057309A">
      <w:pPr>
        <w:keepNext/>
        <w:spacing w:before="240" w:line="240" w:lineRule="auto"/>
        <w:jc w:val="left"/>
      </w:pPr>
      <w:r w:rsidRPr="0057309A">
        <w:t xml:space="preserve">Hospodářské výpočty </w:t>
      </w:r>
      <w:r w:rsidR="00AA59E8">
        <w:t>–</w:t>
      </w:r>
      <w:r w:rsidR="003B151D">
        <w:t xml:space="preserve"> </w:t>
      </w:r>
      <w:r w:rsidRPr="0057309A">
        <w:t xml:space="preserve">1. ročník </w:t>
      </w:r>
      <w:r w:rsidR="00AA59E8">
        <w:t>–</w:t>
      </w:r>
      <w:r w:rsidRPr="0057309A">
        <w:t xml:space="preserve"> 2 hodiny týdně </w:t>
      </w:r>
      <w:r w:rsidR="00AA59E8">
        <w:t>–</w:t>
      </w:r>
      <w:r w:rsidRPr="0057309A">
        <w:t xml:space="preserve"> 6</w:t>
      </w:r>
      <w:r w:rsidR="003F76AF">
        <w:t>6</w:t>
      </w:r>
      <w:r w:rsidRPr="0057309A"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57309A" w:rsidRPr="0057309A" w:rsidTr="00AA59E8">
        <w:trPr>
          <w:trHeight w:val="325"/>
        </w:trPr>
        <w:tc>
          <w:tcPr>
            <w:tcW w:w="4680" w:type="dxa"/>
            <w:vAlign w:val="center"/>
          </w:tcPr>
          <w:p w:rsidR="0057309A" w:rsidRPr="0057309A" w:rsidRDefault="0057309A" w:rsidP="0057309A">
            <w:pPr>
              <w:spacing w:after="0" w:line="240" w:lineRule="auto"/>
            </w:pPr>
            <w:r w:rsidRPr="0057309A">
              <w:t>Výsledky vzdělávání</w:t>
            </w:r>
          </w:p>
        </w:tc>
        <w:tc>
          <w:tcPr>
            <w:tcW w:w="4176" w:type="dxa"/>
            <w:vAlign w:val="center"/>
          </w:tcPr>
          <w:p w:rsidR="0057309A" w:rsidRPr="0057309A" w:rsidRDefault="0057309A" w:rsidP="0057309A">
            <w:pPr>
              <w:spacing w:after="0" w:line="240" w:lineRule="auto"/>
            </w:pPr>
            <w:r w:rsidRPr="0057309A">
              <w:t>Obsah vzdělávání</w:t>
            </w:r>
          </w:p>
        </w:tc>
      </w:tr>
      <w:tr w:rsidR="0057309A" w:rsidRPr="0057309A" w:rsidTr="00AA59E8">
        <w:tc>
          <w:tcPr>
            <w:tcW w:w="4680" w:type="dxa"/>
          </w:tcPr>
          <w:p w:rsidR="0057309A" w:rsidRPr="0057309A" w:rsidRDefault="0057309A" w:rsidP="005F0472">
            <w:pPr>
              <w:pStyle w:val="pprava"/>
              <w:ind w:left="459" w:right="0" w:hanging="360"/>
            </w:pPr>
            <w:r w:rsidRPr="0057309A">
              <w:t>Žák</w:t>
            </w:r>
          </w:p>
          <w:p w:rsidR="0057309A" w:rsidRPr="0057309A" w:rsidRDefault="0057309A" w:rsidP="005F0472">
            <w:pPr>
              <w:pStyle w:val="pprava"/>
              <w:ind w:left="459" w:right="0" w:hanging="360"/>
            </w:pP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řeší převody jednotek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převádí a rozvádí pojmenovaná čísla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provádí početní operace s pojmenovanými čísly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správně zaokrouhluje čísla dle zadání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řeší praktické úlohy s využitím odhadu</w:t>
            </w:r>
          </w:p>
        </w:tc>
        <w:tc>
          <w:tcPr>
            <w:tcW w:w="4176" w:type="dxa"/>
          </w:tcPr>
          <w:p w:rsidR="0057309A" w:rsidRPr="0057309A" w:rsidRDefault="0057309A" w:rsidP="0057309A">
            <w:pPr>
              <w:keepNext/>
              <w:spacing w:before="120" w:line="240" w:lineRule="auto"/>
              <w:jc w:val="left"/>
              <w:outlineLvl w:val="2"/>
              <w:rPr>
                <w:b/>
                <w:bCs/>
              </w:rPr>
            </w:pPr>
            <w:r w:rsidRPr="0057309A">
              <w:rPr>
                <w:b/>
                <w:bCs/>
              </w:rPr>
              <w:t>Shrnutí a rozšíření poznatků numerických výpočtů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základní početní úkony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převody mezi dekadickou a nedekadickými soustavami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základní početní úkony s pojmenovanými čísly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převádění a rozvádění </w:t>
            </w:r>
            <w:proofErr w:type="spellStart"/>
            <w:r w:rsidRPr="0057309A">
              <w:t>pojm</w:t>
            </w:r>
            <w:proofErr w:type="spellEnd"/>
            <w:r w:rsidR="00AA59E8">
              <w:t xml:space="preserve">. </w:t>
            </w:r>
            <w:r w:rsidRPr="0057309A">
              <w:t>čísel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zaokrouhlování čísel, odhad</w:t>
            </w:r>
          </w:p>
        </w:tc>
      </w:tr>
      <w:tr w:rsidR="0057309A" w:rsidRPr="0057309A" w:rsidTr="00AA59E8">
        <w:trPr>
          <w:trHeight w:val="898"/>
        </w:trPr>
        <w:tc>
          <w:tcPr>
            <w:tcW w:w="4680" w:type="dxa"/>
          </w:tcPr>
          <w:p w:rsidR="0057309A" w:rsidRPr="0057309A" w:rsidRDefault="0057309A" w:rsidP="0057309A">
            <w:pPr>
              <w:spacing w:before="120" w:after="0" w:line="240" w:lineRule="auto"/>
              <w:rPr>
                <w:color w:val="000000"/>
                <w:lang w:eastAsia="ar-SA"/>
              </w:rPr>
            </w:pPr>
            <w:r w:rsidRPr="0057309A">
              <w:rPr>
                <w:color w:val="000000"/>
                <w:lang w:eastAsia="ar-SA"/>
              </w:rPr>
              <w:t>Žák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aplikuje pravidla pro úměru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stanoví poměr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řeší slovní úlohy pomocí vhodné trojčlenky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využívá dané postupy v praktických úlohách</w:t>
            </w:r>
          </w:p>
        </w:tc>
        <w:tc>
          <w:tcPr>
            <w:tcW w:w="4176" w:type="dxa"/>
          </w:tcPr>
          <w:p w:rsidR="0057309A" w:rsidRPr="0057309A" w:rsidRDefault="0057309A" w:rsidP="0057309A">
            <w:pPr>
              <w:keepNext/>
              <w:spacing w:before="120" w:line="240" w:lineRule="auto"/>
              <w:jc w:val="left"/>
              <w:outlineLvl w:val="2"/>
              <w:rPr>
                <w:b/>
                <w:bCs/>
              </w:rPr>
            </w:pPr>
            <w:r w:rsidRPr="0057309A">
              <w:rPr>
                <w:b/>
                <w:bCs/>
              </w:rPr>
              <w:t>Zmechanizované početní postupy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shrnutí základních poznatků o poměrech a úměrách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jednoduchá a složená trojčlenka 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jednoduchý a složený rozdělovací počet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směšovací počet</w:t>
            </w:r>
          </w:p>
        </w:tc>
      </w:tr>
      <w:tr w:rsidR="0057309A" w:rsidRPr="0057309A" w:rsidTr="00AA59E8">
        <w:trPr>
          <w:trHeight w:val="898"/>
        </w:trPr>
        <w:tc>
          <w:tcPr>
            <w:tcW w:w="4680" w:type="dxa"/>
          </w:tcPr>
          <w:p w:rsidR="0057309A" w:rsidRPr="0057309A" w:rsidRDefault="0057309A" w:rsidP="0057309A">
            <w:pPr>
              <w:spacing w:before="120" w:after="0" w:line="240" w:lineRule="auto"/>
              <w:rPr>
                <w:color w:val="000000"/>
                <w:lang w:eastAsia="ar-SA"/>
              </w:rPr>
            </w:pPr>
            <w:r w:rsidRPr="0057309A">
              <w:rPr>
                <w:color w:val="000000"/>
                <w:lang w:eastAsia="ar-SA"/>
              </w:rPr>
              <w:t>Žák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vysvětlí pojmy</w:t>
            </w:r>
            <w:r w:rsidR="00AA59E8">
              <w:t xml:space="preserve">, </w:t>
            </w:r>
            <w:r w:rsidRPr="0057309A">
              <w:t>provede rozbor zadání úlohy a určí známé a neznámé veličiny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zvolí vhodný postup řešení 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řeší příklady z hospodářské praxe</w:t>
            </w:r>
          </w:p>
        </w:tc>
        <w:tc>
          <w:tcPr>
            <w:tcW w:w="4176" w:type="dxa"/>
          </w:tcPr>
          <w:p w:rsidR="0057309A" w:rsidRPr="0057309A" w:rsidRDefault="0057309A" w:rsidP="0057309A">
            <w:pPr>
              <w:keepNext/>
              <w:spacing w:before="120" w:line="240" w:lineRule="auto"/>
              <w:jc w:val="left"/>
              <w:outlineLvl w:val="2"/>
              <w:rPr>
                <w:b/>
                <w:bCs/>
              </w:rPr>
            </w:pPr>
            <w:r w:rsidRPr="0057309A">
              <w:rPr>
                <w:b/>
                <w:bCs/>
              </w:rPr>
              <w:t>Procentový počet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úlohy procentového počtu 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úlohy procentového počtu při zvětšeném a zmenšeném základu</w:t>
            </w:r>
          </w:p>
          <w:p w:rsidR="0057309A" w:rsidRPr="0057309A" w:rsidRDefault="0057309A" w:rsidP="0057309A">
            <w:pPr>
              <w:spacing w:after="0" w:line="240" w:lineRule="auto"/>
              <w:ind w:left="181"/>
              <w:jc w:val="left"/>
            </w:pPr>
          </w:p>
        </w:tc>
      </w:tr>
      <w:tr w:rsidR="0057309A" w:rsidRPr="0057309A" w:rsidTr="00AA59E8">
        <w:trPr>
          <w:trHeight w:val="898"/>
        </w:trPr>
        <w:tc>
          <w:tcPr>
            <w:tcW w:w="4680" w:type="dxa"/>
          </w:tcPr>
          <w:p w:rsidR="0057309A" w:rsidRPr="0057309A" w:rsidRDefault="0057309A" w:rsidP="0057309A">
            <w:pPr>
              <w:spacing w:before="120" w:after="0" w:line="240" w:lineRule="auto"/>
              <w:rPr>
                <w:color w:val="000000"/>
                <w:lang w:eastAsia="ar-SA"/>
              </w:rPr>
            </w:pPr>
            <w:r w:rsidRPr="0057309A">
              <w:rPr>
                <w:color w:val="000000"/>
                <w:lang w:eastAsia="ar-SA"/>
              </w:rPr>
              <w:t>Žák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vysvětlí pojmy úrokového počtu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orientuje se v základních vztazích úrokového počtu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vyřeší jednotlivé neznámé </w:t>
            </w:r>
          </w:p>
        </w:tc>
        <w:tc>
          <w:tcPr>
            <w:tcW w:w="4176" w:type="dxa"/>
            <w:tcBorders>
              <w:bottom w:val="single" w:sz="4" w:space="0" w:color="auto"/>
            </w:tcBorders>
          </w:tcPr>
          <w:p w:rsidR="0057309A" w:rsidRPr="0057309A" w:rsidRDefault="0057309A" w:rsidP="0057309A">
            <w:pPr>
              <w:keepNext/>
              <w:spacing w:before="120" w:line="240" w:lineRule="auto"/>
              <w:jc w:val="left"/>
              <w:outlineLvl w:val="2"/>
              <w:rPr>
                <w:b/>
                <w:bCs/>
              </w:rPr>
            </w:pPr>
            <w:r w:rsidRPr="0057309A">
              <w:rPr>
                <w:b/>
                <w:bCs/>
              </w:rPr>
              <w:t>Úrokový počet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úlohy úrokového počtu a jejich využití v hospodářské praxi</w:t>
            </w:r>
          </w:p>
          <w:p w:rsidR="0057309A" w:rsidRPr="0057309A" w:rsidRDefault="0057309A" w:rsidP="0057309A">
            <w:pPr>
              <w:spacing w:after="0" w:line="240" w:lineRule="auto"/>
              <w:ind w:left="181"/>
              <w:jc w:val="left"/>
            </w:pPr>
          </w:p>
        </w:tc>
      </w:tr>
      <w:tr w:rsidR="0057309A" w:rsidRPr="0057309A" w:rsidTr="00AA59E8">
        <w:trPr>
          <w:trHeight w:val="898"/>
        </w:trPr>
        <w:tc>
          <w:tcPr>
            <w:tcW w:w="4680" w:type="dxa"/>
          </w:tcPr>
          <w:p w:rsidR="0057309A" w:rsidRPr="0057309A" w:rsidRDefault="0057309A" w:rsidP="0057309A">
            <w:pPr>
              <w:spacing w:before="120" w:after="0" w:line="240" w:lineRule="auto"/>
              <w:rPr>
                <w:color w:val="000000"/>
                <w:lang w:eastAsia="ar-SA"/>
              </w:rPr>
            </w:pPr>
            <w:r w:rsidRPr="0057309A">
              <w:rPr>
                <w:color w:val="000000"/>
                <w:lang w:eastAsia="ar-SA"/>
              </w:rPr>
              <w:t>Žák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formuluje smysl kalkulace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rozezná jednotlivé typy 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provádí početní techniku jednotlivých typů kalkulace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řeší příklady z hospodářské praxe</w:t>
            </w:r>
          </w:p>
        </w:tc>
        <w:tc>
          <w:tcPr>
            <w:tcW w:w="4176" w:type="dxa"/>
            <w:tcBorders>
              <w:top w:val="single" w:sz="4" w:space="0" w:color="auto"/>
              <w:bottom w:val="single" w:sz="4" w:space="0" w:color="auto"/>
            </w:tcBorders>
          </w:tcPr>
          <w:p w:rsidR="0057309A" w:rsidRPr="0057309A" w:rsidRDefault="0057309A" w:rsidP="0057309A">
            <w:pPr>
              <w:keepNext/>
              <w:spacing w:before="120" w:line="240" w:lineRule="auto"/>
              <w:jc w:val="left"/>
              <w:outlineLvl w:val="2"/>
              <w:rPr>
                <w:b/>
                <w:bCs/>
              </w:rPr>
            </w:pPr>
            <w:r w:rsidRPr="0057309A">
              <w:rPr>
                <w:b/>
                <w:bCs/>
              </w:rPr>
              <w:t>Početní technika kalkulace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kalkulace prostým dělením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kalkulace dělením poměrovými čísly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přirážková kalkulace</w:t>
            </w:r>
          </w:p>
          <w:p w:rsidR="0057309A" w:rsidRPr="0057309A" w:rsidRDefault="0057309A" w:rsidP="005F0472">
            <w:pPr>
              <w:pStyle w:val="pprava"/>
              <w:ind w:left="417" w:right="0"/>
            </w:pPr>
          </w:p>
          <w:p w:rsidR="0057309A" w:rsidRPr="0057309A" w:rsidRDefault="0057309A" w:rsidP="0057309A">
            <w:pPr>
              <w:spacing w:after="0" w:line="240" w:lineRule="auto"/>
              <w:ind w:left="181"/>
              <w:jc w:val="left"/>
            </w:pPr>
          </w:p>
        </w:tc>
      </w:tr>
      <w:tr w:rsidR="0057309A" w:rsidRPr="0057309A" w:rsidTr="00AA59E8">
        <w:trPr>
          <w:trHeight w:val="898"/>
        </w:trPr>
        <w:tc>
          <w:tcPr>
            <w:tcW w:w="4680" w:type="dxa"/>
          </w:tcPr>
          <w:p w:rsidR="0057309A" w:rsidRPr="0057309A" w:rsidRDefault="0057309A" w:rsidP="0057309A">
            <w:pPr>
              <w:spacing w:before="120" w:after="0" w:line="240" w:lineRule="auto"/>
              <w:rPr>
                <w:color w:val="000000"/>
                <w:lang w:eastAsia="ar-SA"/>
              </w:rPr>
            </w:pPr>
            <w:r w:rsidRPr="0057309A">
              <w:rPr>
                <w:color w:val="000000"/>
                <w:lang w:eastAsia="ar-SA"/>
              </w:rPr>
              <w:t>Žák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charakterizuje jednotlivé pojmy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orientuje se v měnovém kurzu a v kurzovním lístku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řeší základní převody měn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 xml:space="preserve">provádí propočty o valutách 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provádí propočty o devizách</w:t>
            </w:r>
          </w:p>
        </w:tc>
        <w:tc>
          <w:tcPr>
            <w:tcW w:w="4176" w:type="dxa"/>
            <w:tcBorders>
              <w:top w:val="single" w:sz="4" w:space="0" w:color="auto"/>
            </w:tcBorders>
          </w:tcPr>
          <w:p w:rsidR="0057309A" w:rsidRPr="0057309A" w:rsidRDefault="0057309A" w:rsidP="0057309A">
            <w:pPr>
              <w:keepNext/>
              <w:spacing w:before="120" w:line="240" w:lineRule="auto"/>
              <w:jc w:val="left"/>
              <w:outlineLvl w:val="2"/>
              <w:rPr>
                <w:b/>
                <w:bCs/>
              </w:rPr>
            </w:pPr>
            <w:r w:rsidRPr="0057309A">
              <w:rPr>
                <w:b/>
                <w:bCs/>
              </w:rPr>
              <w:t>Valuty a devizy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propočty o valutách</w:t>
            </w:r>
          </w:p>
          <w:p w:rsidR="0057309A" w:rsidRPr="0057309A" w:rsidRDefault="0057309A" w:rsidP="005F0472">
            <w:pPr>
              <w:pStyle w:val="pprava"/>
              <w:numPr>
                <w:ilvl w:val="0"/>
                <w:numId w:val="20"/>
              </w:numPr>
              <w:ind w:left="417" w:right="0"/>
            </w:pPr>
            <w:r w:rsidRPr="0057309A">
              <w:t>propočty o devizách</w:t>
            </w:r>
          </w:p>
        </w:tc>
      </w:tr>
    </w:tbl>
    <w:p w:rsidR="00F46A8C" w:rsidRPr="0057309A" w:rsidRDefault="00F46A8C" w:rsidP="00AA59E8"/>
    <w:sectPr w:rsidR="00F46A8C" w:rsidRPr="0057309A" w:rsidSect="003B151D">
      <w:headerReference w:type="default" r:id="rId7"/>
      <w:footerReference w:type="default" r:id="rId8"/>
      <w:pgSz w:w="11906" w:h="16838"/>
      <w:pgMar w:top="1417" w:right="1417" w:bottom="1417" w:left="1701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D44" w:rsidRDefault="00990D44" w:rsidP="000E475A">
      <w:pPr>
        <w:spacing w:after="0" w:line="240" w:lineRule="auto"/>
      </w:pPr>
      <w:r>
        <w:separator/>
      </w:r>
    </w:p>
  </w:endnote>
  <w:endnote w:type="continuationSeparator" w:id="0">
    <w:p w:rsidR="00990D44" w:rsidRDefault="00990D44" w:rsidP="000E4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75A" w:rsidRDefault="000E475A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0E475A" w:rsidRDefault="000E47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D44" w:rsidRDefault="00990D44" w:rsidP="000E475A">
      <w:pPr>
        <w:spacing w:after="0" w:line="240" w:lineRule="auto"/>
      </w:pPr>
      <w:r>
        <w:separator/>
      </w:r>
    </w:p>
  </w:footnote>
  <w:footnote w:type="continuationSeparator" w:id="0">
    <w:p w:rsidR="00990D44" w:rsidRDefault="00990D44" w:rsidP="000E4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75A" w:rsidRDefault="000E475A" w:rsidP="000E475A">
    <w:pPr>
      <w:tabs>
        <w:tab w:val="right" w:pos="8789"/>
      </w:tabs>
      <w:spacing w:after="0" w:line="240" w:lineRule="auto"/>
      <w:ind w:right="-2"/>
      <w:jc w:val="left"/>
    </w:pPr>
    <w:bookmarkStart w:id="3" w:name="_Hlk517808421"/>
    <w:bookmarkStart w:id="4" w:name="_Hlk517808422"/>
    <w:bookmarkStart w:id="5" w:name="_Hlk517808423"/>
    <w:bookmarkStart w:id="6" w:name="_Hlk517808424"/>
    <w:r w:rsidRPr="000E475A">
      <w:t>ŠVP – Obchodní akademie</w:t>
    </w:r>
    <w:r w:rsidRPr="000E475A">
      <w:tab/>
      <w:t xml:space="preserve">Učební osnovy </w:t>
    </w:r>
    <w:bookmarkEnd w:id="3"/>
    <w:bookmarkEnd w:id="4"/>
    <w:bookmarkEnd w:id="5"/>
    <w:bookmarkEnd w:id="6"/>
    <w:r w:rsidR="007B138E" w:rsidRPr="007B138E">
      <w:t>Hospodářské výpočty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C30CF"/>
    <w:multiLevelType w:val="hybridMultilevel"/>
    <w:tmpl w:val="5662443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33521C91"/>
    <w:multiLevelType w:val="hybridMultilevel"/>
    <w:tmpl w:val="4766984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8600F"/>
    <w:multiLevelType w:val="hybridMultilevel"/>
    <w:tmpl w:val="C646E490"/>
    <w:lvl w:ilvl="0" w:tplc="11D4730A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007D7"/>
    <w:multiLevelType w:val="hybridMultilevel"/>
    <w:tmpl w:val="DE82CC9C"/>
    <w:lvl w:ilvl="0" w:tplc="B21A40E0">
      <w:numFmt w:val="bullet"/>
      <w:lvlText w:val="-"/>
      <w:lvlJc w:val="left"/>
      <w:pPr>
        <w:ind w:left="81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 w15:restartNumberingAfterBreak="0">
    <w:nsid w:val="4D7E176E"/>
    <w:multiLevelType w:val="hybridMultilevel"/>
    <w:tmpl w:val="F2DA4B2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53645F02"/>
    <w:multiLevelType w:val="hybridMultilevel"/>
    <w:tmpl w:val="2466A4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45CD0"/>
    <w:multiLevelType w:val="hybridMultilevel"/>
    <w:tmpl w:val="B58AF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5768A3"/>
    <w:multiLevelType w:val="hybridMultilevel"/>
    <w:tmpl w:val="E5548EA8"/>
    <w:lvl w:ilvl="0" w:tplc="577CC8FE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C03FAA"/>
    <w:multiLevelType w:val="hybridMultilevel"/>
    <w:tmpl w:val="B5DA11C2"/>
    <w:lvl w:ilvl="0" w:tplc="33D627E8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164D69"/>
    <w:multiLevelType w:val="hybridMultilevel"/>
    <w:tmpl w:val="F78654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509E0"/>
    <w:multiLevelType w:val="hybridMultilevel"/>
    <w:tmpl w:val="FCC6F1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1"/>
  </w:num>
  <w:num w:numId="5">
    <w:abstractNumId w:val="1"/>
  </w:num>
  <w:num w:numId="6">
    <w:abstractNumId w:val="0"/>
  </w:num>
  <w:num w:numId="7">
    <w:abstractNumId w:val="9"/>
  </w:num>
  <w:num w:numId="8">
    <w:abstractNumId w:val="8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6"/>
  </w:num>
  <w:num w:numId="18">
    <w:abstractNumId w:val="7"/>
  </w:num>
  <w:num w:numId="19">
    <w:abstractNumId w:val="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8AE"/>
    <w:rsid w:val="000301CD"/>
    <w:rsid w:val="000E475A"/>
    <w:rsid w:val="001053C5"/>
    <w:rsid w:val="001C77BA"/>
    <w:rsid w:val="001E6E86"/>
    <w:rsid w:val="00216E03"/>
    <w:rsid w:val="002E688D"/>
    <w:rsid w:val="003B151D"/>
    <w:rsid w:val="003F76AF"/>
    <w:rsid w:val="00513347"/>
    <w:rsid w:val="00514AF0"/>
    <w:rsid w:val="005430C3"/>
    <w:rsid w:val="0057309A"/>
    <w:rsid w:val="005B7036"/>
    <w:rsid w:val="005F0472"/>
    <w:rsid w:val="00624A25"/>
    <w:rsid w:val="0063369F"/>
    <w:rsid w:val="00695BF2"/>
    <w:rsid w:val="007B138E"/>
    <w:rsid w:val="007C32F3"/>
    <w:rsid w:val="008835A1"/>
    <w:rsid w:val="00943C69"/>
    <w:rsid w:val="00990D44"/>
    <w:rsid w:val="00AA59E8"/>
    <w:rsid w:val="00B76BD7"/>
    <w:rsid w:val="00BB43E9"/>
    <w:rsid w:val="00DD38AE"/>
    <w:rsid w:val="00E167EE"/>
    <w:rsid w:val="00E64595"/>
    <w:rsid w:val="00E6540C"/>
    <w:rsid w:val="00F12CC1"/>
    <w:rsid w:val="00F1512A"/>
    <w:rsid w:val="00F46A8C"/>
    <w:rsid w:val="00F8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52704"/>
  <w15:chartTrackingRefBased/>
  <w15:docId w15:val="{DE53E787-5D92-42EE-903D-430F077A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38AE"/>
    <w:pPr>
      <w:spacing w:after="12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D38A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DD38AE"/>
    <w:pPr>
      <w:keepLines w:val="0"/>
      <w:spacing w:before="240" w:after="60" w:line="240" w:lineRule="auto"/>
      <w:jc w:val="left"/>
      <w:outlineLvl w:val="1"/>
    </w:pPr>
    <w:rPr>
      <w:rFonts w:ascii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38A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DD38AE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DD38AE"/>
    <w:pPr>
      <w:widowControl w:val="0"/>
      <w:autoSpaceDE w:val="0"/>
      <w:autoSpaceDN w:val="0"/>
      <w:adjustRightInd w:val="0"/>
      <w:spacing w:before="240" w:after="240" w:line="256" w:lineRule="atLeast"/>
    </w:pPr>
    <w:rPr>
      <w:b/>
      <w:bCs/>
    </w:rPr>
  </w:style>
  <w:style w:type="paragraph" w:styleId="Zkladntext">
    <w:name w:val="Body Text"/>
    <w:basedOn w:val="Normln"/>
    <w:link w:val="ZkladntextChar"/>
    <w:rsid w:val="00DD38AE"/>
    <w:pPr>
      <w:spacing w:after="0" w:line="240" w:lineRule="auto"/>
    </w:pPr>
  </w:style>
  <w:style w:type="character" w:customStyle="1" w:styleId="ZkladntextChar">
    <w:name w:val="Základní text Char"/>
    <w:link w:val="Zkladntext"/>
    <w:rsid w:val="00DD38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prava">
    <w:name w:val="pprava"/>
    <w:basedOn w:val="Normln"/>
    <w:autoRedefine/>
    <w:rsid w:val="00DD38AE"/>
    <w:pPr>
      <w:spacing w:after="0" w:line="240" w:lineRule="auto"/>
      <w:ind w:right="57"/>
      <w:jc w:val="left"/>
    </w:pPr>
  </w:style>
  <w:style w:type="paragraph" w:customStyle="1" w:styleId="StylStyl321Podtren">
    <w:name w:val="Styl Styl321 + Podtržení"/>
    <w:basedOn w:val="Normln"/>
    <w:autoRedefine/>
    <w:rsid w:val="00DD38AE"/>
    <w:pPr>
      <w:spacing w:before="120" w:after="0" w:line="240" w:lineRule="auto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DD38AE"/>
    <w:pPr>
      <w:keepNext/>
      <w:spacing w:before="360" w:line="240" w:lineRule="auto"/>
      <w:jc w:val="left"/>
    </w:pPr>
  </w:style>
  <w:style w:type="paragraph" w:customStyle="1" w:styleId="Normlnped">
    <w:name w:val="Normální před"/>
    <w:basedOn w:val="Normln"/>
    <w:autoRedefine/>
    <w:rsid w:val="00DD38AE"/>
    <w:pPr>
      <w:spacing w:before="120" w:line="240" w:lineRule="auto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DD38AE"/>
    <w:pPr>
      <w:keepLines w:val="0"/>
      <w:spacing w:before="120" w:after="120" w:line="240" w:lineRule="auto"/>
      <w:ind w:left="352" w:right="57"/>
      <w:jc w:val="left"/>
    </w:pPr>
    <w:rPr>
      <w:rFonts w:ascii="Times New Roman" w:hAnsi="Times New Roman"/>
      <w:color w:val="auto"/>
    </w:rPr>
  </w:style>
  <w:style w:type="paragraph" w:styleId="Odstavecseseznamem">
    <w:name w:val="List Paragraph"/>
    <w:basedOn w:val="Normln"/>
    <w:qFormat/>
    <w:rsid w:val="00DD38AE"/>
    <w:pPr>
      <w:ind w:left="720"/>
      <w:contextualSpacing/>
    </w:pPr>
  </w:style>
  <w:style w:type="character" w:customStyle="1" w:styleId="Nadpis1Char">
    <w:name w:val="Nadpis 1 Char"/>
    <w:link w:val="Nadpis1"/>
    <w:uiPriority w:val="9"/>
    <w:rsid w:val="00DD38AE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"/>
    <w:rsid w:val="00DD38AE"/>
    <w:rPr>
      <w:rFonts w:ascii="Cambria" w:eastAsia="Times New Roman" w:hAnsi="Cambria" w:cs="Times New Roman"/>
      <w:b/>
      <w:bCs/>
      <w:color w:val="4F81BD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E47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475A"/>
    <w:rPr>
      <w:rFonts w:ascii="Times New Roman" w:eastAsia="Times New Roman" w:hAnsi="Times New Roman"/>
      <w:sz w:val="24"/>
      <w:szCs w:val="24"/>
    </w:rPr>
  </w:style>
  <w:style w:type="paragraph" w:customStyle="1" w:styleId="Odstavec1svp">
    <w:name w:val="Odstavec 1 svp"/>
    <w:basedOn w:val="Odstavecseseznamem"/>
    <w:link w:val="Odstavec1svpChar"/>
    <w:rsid w:val="00F12CC1"/>
    <w:pPr>
      <w:autoSpaceDE w:val="0"/>
      <w:autoSpaceDN w:val="0"/>
      <w:spacing w:after="200" w:line="276" w:lineRule="auto"/>
      <w:ind w:left="0"/>
      <w:contextualSpacing w:val="0"/>
    </w:pPr>
  </w:style>
  <w:style w:type="paragraph" w:customStyle="1" w:styleId="Odrkysvp">
    <w:name w:val="Odrážky svp"/>
    <w:basedOn w:val="Normln"/>
    <w:rsid w:val="00F12CC1"/>
    <w:pPr>
      <w:numPr>
        <w:numId w:val="8"/>
      </w:numPr>
      <w:autoSpaceDN w:val="0"/>
      <w:spacing w:after="0" w:line="276" w:lineRule="auto"/>
    </w:pPr>
    <w:rPr>
      <w:rFonts w:cs="Calibri"/>
    </w:rPr>
  </w:style>
  <w:style w:type="character" w:customStyle="1" w:styleId="Odstavec1svpChar">
    <w:name w:val="Odstavec 1 svp Char"/>
    <w:link w:val="Odstavec1svp"/>
    <w:rsid w:val="00F12CC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809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User</cp:lastModifiedBy>
  <cp:revision>7</cp:revision>
  <dcterms:created xsi:type="dcterms:W3CDTF">2018-06-27T19:33:00Z</dcterms:created>
  <dcterms:modified xsi:type="dcterms:W3CDTF">2018-11-04T09:02:00Z</dcterms:modified>
</cp:coreProperties>
</file>